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C59B0">
        <w:rPr>
          <w:b/>
          <w:sz w:val="26"/>
          <w:szCs w:val="26"/>
        </w:rPr>
        <w:tab/>
      </w:r>
      <w:r w:rsidR="007C59B0">
        <w:rPr>
          <w:b/>
          <w:sz w:val="26"/>
          <w:szCs w:val="26"/>
        </w:rPr>
        <w:tab/>
      </w:r>
      <w:r w:rsidR="007C59B0">
        <w:rPr>
          <w:b/>
          <w:sz w:val="26"/>
          <w:szCs w:val="26"/>
        </w:rPr>
        <w:tab/>
      </w:r>
      <w:r w:rsidR="007C59B0">
        <w:rPr>
          <w:b/>
          <w:sz w:val="26"/>
          <w:szCs w:val="26"/>
        </w:rPr>
        <w:tab/>
        <w:t>30 ноября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7C59B0" w:rsidRPr="001F1E33">
              <w:t>горелочных устройств установки КМ-2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7C59B0">
              <w:t>330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7C59B0" w:rsidRPr="001F1E33">
              <w:t>горелочных устройств установки КМ-2 ОАО «Славнефть-ЯНОС»</w:t>
            </w:r>
            <w:r w:rsidR="007C59B0">
              <w:rPr>
                <w:color w:val="000000"/>
              </w:rPr>
              <w:t xml:space="preserve"> (ПДО №330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7C59B0" w:rsidP="004B7BDC">
            <w:pPr>
              <w:tabs>
                <w:tab w:val="left" w:pos="851"/>
              </w:tabs>
              <w:spacing w:line="276" w:lineRule="auto"/>
              <w:ind w:left="928"/>
              <w:jc w:val="both"/>
            </w:pPr>
            <w:r>
              <w:rPr>
                <w:b/>
              </w:rPr>
              <w:t>П</w:t>
            </w:r>
            <w:r w:rsidRPr="002125C1">
              <w:rPr>
                <w:b/>
              </w:rPr>
              <w:t>ризнать несостоявшимся тендер</w:t>
            </w:r>
            <w:r w:rsidRPr="00B9528D">
              <w:t xml:space="preserve"> на поставку </w:t>
            </w:r>
            <w:r>
              <w:t>горелочных устройств установки КМ-2</w:t>
            </w:r>
            <w:r w:rsidRPr="006E507B">
              <w:t xml:space="preserve"> </w:t>
            </w:r>
            <w:r>
              <w:t>ОАО «Славнефть-ЯНОС»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(ПДО №330-СС-2017</w:t>
            </w:r>
            <w:r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CA0"/>
    <w:multiLevelType w:val="hybridMultilevel"/>
    <w:tmpl w:val="48C409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4B7BDC"/>
    <w:rsid w:val="00500B7C"/>
    <w:rsid w:val="005505CE"/>
    <w:rsid w:val="0065599F"/>
    <w:rsid w:val="0066316F"/>
    <w:rsid w:val="00670316"/>
    <w:rsid w:val="00695F9C"/>
    <w:rsid w:val="006D51FA"/>
    <w:rsid w:val="006F2235"/>
    <w:rsid w:val="00707867"/>
    <w:rsid w:val="007556F7"/>
    <w:rsid w:val="00775C1B"/>
    <w:rsid w:val="007C59B0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27</cp:revision>
  <cp:lastPrinted>2014-10-02T07:48:00Z</cp:lastPrinted>
  <dcterms:created xsi:type="dcterms:W3CDTF">2014-10-02T08:02:00Z</dcterms:created>
  <dcterms:modified xsi:type="dcterms:W3CDTF">2018-03-29T07:48:00Z</dcterms:modified>
</cp:coreProperties>
</file>