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«Славнефть-ЯНОС»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) опубликовано извещение о проведении закупочной процедуры (ЗП901019).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Pr="00BB4D93">
        <w:rPr>
          <w:b/>
          <w:snapToGrid w:val="0"/>
          <w:sz w:val="24"/>
          <w:szCs w:val="24"/>
        </w:rPr>
        <w:t>вычислительной техники для нужд ОАО «Славнефть-ЯНОС»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«Славнефть-ЯНОС». ПДО №44-СС-2019</w:t>
      </w:r>
      <w:bookmarkStart w:id="0" w:name="_GoBack"/>
      <w:bookmarkEnd w:id="0"/>
      <w:r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865065"/>
    <w:rsid w:val="00A57822"/>
    <w:rsid w:val="00B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467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</cp:revision>
  <dcterms:created xsi:type="dcterms:W3CDTF">2019-02-07T12:42:00Z</dcterms:created>
  <dcterms:modified xsi:type="dcterms:W3CDTF">2019-02-07T12:43:00Z</dcterms:modified>
</cp:coreProperties>
</file>