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244" w:rsidRPr="000F1E1B" w:rsidRDefault="00104244" w:rsidP="00104244">
      <w:pPr>
        <w:suppressAutoHyphens w:val="0"/>
        <w:spacing w:after="200" w:line="276" w:lineRule="auto"/>
        <w:jc w:val="right"/>
        <w:rPr>
          <w:b/>
          <w:szCs w:val="24"/>
        </w:rPr>
      </w:pPr>
      <w:r w:rsidRPr="000F1E1B">
        <w:rPr>
          <w:b/>
          <w:szCs w:val="24"/>
        </w:rPr>
        <w:t xml:space="preserve">Форма 1 </w:t>
      </w:r>
      <w:r>
        <w:rPr>
          <w:b/>
          <w:szCs w:val="24"/>
        </w:rPr>
        <w:t>«</w:t>
      </w:r>
      <w:r w:rsidRPr="000F1E1B">
        <w:rPr>
          <w:b/>
          <w:szCs w:val="24"/>
        </w:rPr>
        <w:t>Извещение о проведении тендера</w:t>
      </w:r>
      <w:r>
        <w:rPr>
          <w:b/>
          <w:szCs w:val="24"/>
        </w:rPr>
        <w:t>»</w:t>
      </w:r>
    </w:p>
    <w:tbl>
      <w:tblPr>
        <w:tblW w:w="9356" w:type="dxa"/>
        <w:tblInd w:w="108" w:type="dxa"/>
        <w:tblLook w:val="01E0" w:firstRow="1" w:lastRow="1" w:firstColumn="1" w:lastColumn="1" w:noHBand="0" w:noVBand="0"/>
      </w:tblPr>
      <w:tblGrid>
        <w:gridCol w:w="5103"/>
        <w:gridCol w:w="4253"/>
      </w:tblGrid>
      <w:tr w:rsidR="00104244" w:rsidRPr="000436A5" w:rsidTr="00465BA0">
        <w:trPr>
          <w:trHeight w:val="369"/>
        </w:trPr>
        <w:tc>
          <w:tcPr>
            <w:tcW w:w="5103" w:type="dxa"/>
          </w:tcPr>
          <w:p w:rsidR="00104244" w:rsidRPr="00FE5202" w:rsidRDefault="00104244" w:rsidP="00465BA0">
            <w:pPr>
              <w:tabs>
                <w:tab w:val="left" w:pos="4606"/>
              </w:tabs>
              <w:suppressAutoHyphens w:val="0"/>
              <w:spacing w:after="200" w:line="276" w:lineRule="auto"/>
              <w:ind w:right="353"/>
              <w:rPr>
                <w:highlight w:val="yellow"/>
              </w:rPr>
            </w:pPr>
          </w:p>
        </w:tc>
        <w:tc>
          <w:tcPr>
            <w:tcW w:w="4253" w:type="dxa"/>
          </w:tcPr>
          <w:p w:rsidR="00104244" w:rsidRPr="00FE5202" w:rsidRDefault="00104244" w:rsidP="00465BA0">
            <w:pPr>
              <w:suppressAutoHyphens w:val="0"/>
              <w:spacing w:after="200" w:line="276" w:lineRule="auto"/>
              <w:ind w:right="-72"/>
              <w:jc w:val="right"/>
            </w:pPr>
            <w:r w:rsidRPr="00FE5202">
              <w:t>УТВЕРЖДЕНО</w:t>
            </w:r>
          </w:p>
        </w:tc>
      </w:tr>
      <w:tr w:rsidR="00104244" w:rsidRPr="000436A5" w:rsidTr="00465BA0">
        <w:trPr>
          <w:trHeight w:val="369"/>
        </w:trPr>
        <w:tc>
          <w:tcPr>
            <w:tcW w:w="5103" w:type="dxa"/>
          </w:tcPr>
          <w:p w:rsidR="00104244" w:rsidRPr="00FE5202" w:rsidRDefault="00104244" w:rsidP="00465BA0">
            <w:pPr>
              <w:suppressAutoHyphens w:val="0"/>
              <w:spacing w:after="200" w:line="276" w:lineRule="auto"/>
              <w:ind w:right="-72"/>
              <w:rPr>
                <w:highlight w:val="yellow"/>
              </w:rPr>
            </w:pPr>
          </w:p>
        </w:tc>
        <w:tc>
          <w:tcPr>
            <w:tcW w:w="4253" w:type="dxa"/>
          </w:tcPr>
          <w:p w:rsidR="00104244" w:rsidRPr="00FE5202" w:rsidRDefault="00104244" w:rsidP="00465BA0">
            <w:pPr>
              <w:suppressAutoHyphens w:val="0"/>
              <w:spacing w:after="200" w:line="276" w:lineRule="auto"/>
              <w:ind w:right="-72"/>
              <w:jc w:val="right"/>
            </w:pPr>
            <w:r w:rsidRPr="00FE5202">
              <w:t>решением Тендерной комиссии</w:t>
            </w:r>
          </w:p>
        </w:tc>
      </w:tr>
      <w:tr w:rsidR="00104244" w:rsidRPr="000436A5" w:rsidTr="00465BA0">
        <w:trPr>
          <w:trHeight w:val="391"/>
        </w:trPr>
        <w:tc>
          <w:tcPr>
            <w:tcW w:w="5103" w:type="dxa"/>
          </w:tcPr>
          <w:p w:rsidR="00104244" w:rsidRPr="00FE5202" w:rsidRDefault="00104244" w:rsidP="00465BA0">
            <w:pPr>
              <w:suppressAutoHyphens w:val="0"/>
              <w:spacing w:after="200" w:line="276" w:lineRule="auto"/>
              <w:rPr>
                <w:highlight w:val="yellow"/>
              </w:rPr>
            </w:pPr>
          </w:p>
        </w:tc>
        <w:tc>
          <w:tcPr>
            <w:tcW w:w="4253" w:type="dxa"/>
          </w:tcPr>
          <w:p w:rsidR="00104244" w:rsidRPr="00FE5202" w:rsidRDefault="00104244" w:rsidP="00465BA0">
            <w:pPr>
              <w:suppressAutoHyphens w:val="0"/>
              <w:spacing w:after="200" w:line="276" w:lineRule="auto"/>
              <w:jc w:val="right"/>
            </w:pPr>
            <w:r w:rsidRPr="00FE5202">
              <w:t xml:space="preserve">Протокол  № </w:t>
            </w:r>
            <w:r>
              <w:t>196</w:t>
            </w:r>
          </w:p>
        </w:tc>
      </w:tr>
      <w:tr w:rsidR="00104244" w:rsidRPr="000436A5" w:rsidTr="00465BA0">
        <w:trPr>
          <w:trHeight w:val="391"/>
        </w:trPr>
        <w:tc>
          <w:tcPr>
            <w:tcW w:w="5103" w:type="dxa"/>
          </w:tcPr>
          <w:p w:rsidR="00104244" w:rsidRPr="00FE5202" w:rsidRDefault="00104244" w:rsidP="00465BA0">
            <w:pPr>
              <w:suppressAutoHyphens w:val="0"/>
              <w:spacing w:after="200" w:line="276" w:lineRule="auto"/>
              <w:rPr>
                <w:highlight w:val="yellow"/>
              </w:rPr>
            </w:pPr>
          </w:p>
        </w:tc>
        <w:tc>
          <w:tcPr>
            <w:tcW w:w="4253" w:type="dxa"/>
          </w:tcPr>
          <w:p w:rsidR="00104244" w:rsidRPr="00FE5202" w:rsidRDefault="00104244" w:rsidP="00465BA0">
            <w:pPr>
              <w:suppressAutoHyphens w:val="0"/>
              <w:spacing w:after="200" w:line="276" w:lineRule="auto"/>
              <w:jc w:val="right"/>
            </w:pPr>
            <w:r w:rsidRPr="00FE5202">
              <w:t>«</w:t>
            </w:r>
            <w:r>
              <w:t>11</w:t>
            </w:r>
            <w:r w:rsidRPr="00FE5202">
              <w:t xml:space="preserve">» </w:t>
            </w:r>
            <w:r>
              <w:t>декабря</w:t>
            </w:r>
            <w:r w:rsidRPr="00FE5202">
              <w:t xml:space="preserve"> </w:t>
            </w:r>
            <w:r>
              <w:t>2017</w:t>
            </w:r>
            <w:r w:rsidRPr="00FE5202">
              <w:t xml:space="preserve"> г.</w:t>
            </w:r>
          </w:p>
        </w:tc>
      </w:tr>
    </w:tbl>
    <w:p w:rsidR="00104244" w:rsidRPr="00FE5202" w:rsidRDefault="00104244" w:rsidP="00104244">
      <w:pPr>
        <w:suppressAutoHyphens w:val="0"/>
        <w:rPr>
          <w:vanish/>
        </w:rPr>
      </w:pPr>
    </w:p>
    <w:p w:rsidR="00104244" w:rsidRPr="00FE5202" w:rsidRDefault="00104244" w:rsidP="00104244">
      <w:pPr>
        <w:suppressAutoHyphens w:val="0"/>
      </w:pPr>
      <w:r w:rsidRPr="00FE5202">
        <w:t xml:space="preserve">ПДО № </w:t>
      </w:r>
      <w:r>
        <w:t>570-СС-2017</w:t>
      </w:r>
    </w:p>
    <w:p w:rsidR="00104244" w:rsidRPr="00FE5202" w:rsidRDefault="00104244" w:rsidP="00104244">
      <w:pPr>
        <w:suppressAutoHyphens w:val="0"/>
      </w:pPr>
      <w:proofErr w:type="gramStart"/>
      <w:r w:rsidRPr="00FE5202">
        <w:t>От  «</w:t>
      </w:r>
      <w:proofErr w:type="gramEnd"/>
      <w:r>
        <w:t>11</w:t>
      </w:r>
      <w:r w:rsidRPr="00FE5202">
        <w:t xml:space="preserve">» </w:t>
      </w:r>
      <w:r>
        <w:t>декабря</w:t>
      </w:r>
      <w:r w:rsidRPr="00FE5202">
        <w:t xml:space="preserve"> 201</w:t>
      </w:r>
      <w:r>
        <w:t>7</w:t>
      </w:r>
      <w:r w:rsidRPr="00FE5202">
        <w:t>г.</w:t>
      </w:r>
    </w:p>
    <w:p w:rsidR="00104244" w:rsidRPr="00FE5202" w:rsidRDefault="00104244" w:rsidP="00104244">
      <w:pPr>
        <w:suppressAutoHyphens w:val="0"/>
        <w:spacing w:after="200" w:line="276" w:lineRule="auto"/>
        <w:jc w:val="right"/>
        <w:rPr>
          <w:b/>
        </w:rPr>
      </w:pPr>
    </w:p>
    <w:p w:rsidR="00104244" w:rsidRPr="001B19A9" w:rsidRDefault="00104244" w:rsidP="00104244">
      <w:pPr>
        <w:ind w:firstLine="567"/>
        <w:jc w:val="both"/>
        <w:rPr>
          <w:color w:val="000000"/>
          <w:szCs w:val="24"/>
        </w:rPr>
      </w:pPr>
      <w:r w:rsidRPr="001B19A9">
        <w:rPr>
          <w:color w:val="000000"/>
          <w:szCs w:val="24"/>
        </w:rPr>
        <w:t>ОАО «</w:t>
      </w:r>
      <w:proofErr w:type="spellStart"/>
      <w:r w:rsidRPr="001B19A9">
        <w:rPr>
          <w:color w:val="000000"/>
          <w:szCs w:val="24"/>
        </w:rPr>
        <w:t>Славнефть</w:t>
      </w:r>
      <w:proofErr w:type="spellEnd"/>
      <w:r w:rsidRPr="001B19A9">
        <w:rPr>
          <w:color w:val="000000"/>
          <w:szCs w:val="24"/>
        </w:rPr>
        <w:t xml:space="preserve">-ЯНОС» (далее – Общество) приглашает вас сделать предложение (оферту) на </w:t>
      </w:r>
      <w:proofErr w:type="gramStart"/>
      <w:r w:rsidRPr="001B19A9">
        <w:rPr>
          <w:color w:val="000000"/>
          <w:szCs w:val="24"/>
        </w:rPr>
        <w:t>поставку  деталей</w:t>
      </w:r>
      <w:proofErr w:type="gramEnd"/>
      <w:r w:rsidRPr="001B19A9">
        <w:rPr>
          <w:color w:val="000000"/>
          <w:szCs w:val="24"/>
        </w:rPr>
        <w:t xml:space="preserve"> трубопроводов.</w:t>
      </w:r>
    </w:p>
    <w:p w:rsidR="00104244" w:rsidRPr="001B19A9" w:rsidRDefault="00104244" w:rsidP="00104244">
      <w:pPr>
        <w:ind w:firstLine="567"/>
        <w:jc w:val="both"/>
        <w:rPr>
          <w:color w:val="000000"/>
          <w:szCs w:val="24"/>
        </w:rPr>
      </w:pPr>
      <w:r w:rsidRPr="001B19A9">
        <w:rPr>
          <w:color w:val="000000"/>
          <w:szCs w:val="24"/>
        </w:rPr>
        <w:t xml:space="preserve">По результатам рассмотрения предложений Общество определит </w:t>
      </w:r>
      <w:proofErr w:type="gramStart"/>
      <w:r w:rsidRPr="001B19A9">
        <w:rPr>
          <w:color w:val="000000"/>
          <w:szCs w:val="24"/>
        </w:rPr>
        <w:t>контрагента,  предложившего</w:t>
      </w:r>
      <w:proofErr w:type="gramEnd"/>
      <w:r w:rsidRPr="001B19A9">
        <w:rPr>
          <w:color w:val="000000"/>
          <w:szCs w:val="24"/>
        </w:rPr>
        <w:t xml:space="preserve"> наилучшие условия в соответствии с Технико-Коммерческим предложением (форма 6) при выполнении Требований к предмету оферты (форма 2): наименьшая цена, максимальный объем поставки, минимальные сроки поставки, соответствие  стандартам качества, форма оплаты.</w:t>
      </w:r>
    </w:p>
    <w:p w:rsidR="00104244" w:rsidRPr="00276DCA" w:rsidRDefault="00104244" w:rsidP="00104244">
      <w:pPr>
        <w:ind w:firstLine="709"/>
        <w:jc w:val="both"/>
      </w:pPr>
      <w:r w:rsidRPr="001B19A9">
        <w:rPr>
          <w:color w:val="000000"/>
        </w:rPr>
        <w:t xml:space="preserve">Оферта может быть представлена на часть номенклатуры (Лот). </w:t>
      </w:r>
      <w:proofErr w:type="gramStart"/>
      <w:r w:rsidRPr="001B19A9">
        <w:rPr>
          <w:color w:val="000000"/>
        </w:rPr>
        <w:t>Лоты  указаны</w:t>
      </w:r>
      <w:proofErr w:type="gramEnd"/>
      <w:r w:rsidRPr="001B19A9">
        <w:rPr>
          <w:color w:val="000000"/>
        </w:rPr>
        <w:t xml:space="preserve"> в форме </w:t>
      </w:r>
      <w:r w:rsidRPr="00276DCA">
        <w:t>6 «Технико-Коммерческое предложение». Лоты являются неделимыми.</w:t>
      </w:r>
    </w:p>
    <w:p w:rsidR="00104244" w:rsidRPr="001A1F27" w:rsidRDefault="00104244" w:rsidP="00104244">
      <w:pPr>
        <w:ind w:firstLine="284"/>
        <w:jc w:val="both"/>
        <w:rPr>
          <w:szCs w:val="24"/>
        </w:rPr>
      </w:pPr>
      <w:r w:rsidRPr="00485138">
        <w:t>Тендер проводится в один этап: оценка т</w:t>
      </w:r>
      <w:r>
        <w:t xml:space="preserve">ехнико-коммерческой части оферт </w:t>
      </w:r>
      <w:r w:rsidRPr="00A548F3">
        <w:rPr>
          <w:color w:val="000000"/>
          <w:szCs w:val="24"/>
        </w:rPr>
        <w:t>с запросом улучшенных коммерческих частей оферт или проведением коммерческих переговоров.</w:t>
      </w:r>
    </w:p>
    <w:p w:rsidR="00104244" w:rsidRPr="007F39EF" w:rsidRDefault="00104244" w:rsidP="00104244">
      <w:pPr>
        <w:ind w:firstLine="709"/>
        <w:jc w:val="both"/>
        <w:rPr>
          <w:szCs w:val="24"/>
        </w:rPr>
      </w:pPr>
      <w:r>
        <w:t xml:space="preserve"> </w:t>
      </w:r>
      <w:r w:rsidRPr="007F39EF">
        <w:rPr>
          <w:szCs w:val="24"/>
        </w:rP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04244" w:rsidRPr="007F39EF" w:rsidRDefault="00104244" w:rsidP="00104244">
      <w:pPr>
        <w:ind w:firstLine="567"/>
        <w:jc w:val="both"/>
        <w:rPr>
          <w:szCs w:val="24"/>
        </w:rPr>
      </w:pPr>
      <w:r w:rsidRPr="007F39EF">
        <w:rPr>
          <w:szCs w:val="24"/>
        </w:rPr>
        <w:t>Общество оставляет</w:t>
      </w:r>
      <w:r>
        <w:rPr>
          <w:szCs w:val="24"/>
        </w:rPr>
        <w:t xml:space="preserve"> за собой право изменять общее </w:t>
      </w:r>
      <w:r w:rsidRPr="007F39EF">
        <w:rPr>
          <w:szCs w:val="24"/>
        </w:rPr>
        <w:t>количество поставляемого товара в пределах согласованного в договоре опциона.</w:t>
      </w:r>
    </w:p>
    <w:p w:rsidR="00104244" w:rsidRDefault="00104244" w:rsidP="00104244">
      <w:pPr>
        <w:ind w:firstLine="567"/>
        <w:jc w:val="both"/>
        <w:rPr>
          <w:szCs w:val="24"/>
        </w:rPr>
      </w:pPr>
      <w:r w:rsidRPr="007F39EF">
        <w:rPr>
          <w:szCs w:val="24"/>
        </w:rPr>
        <w:t>Под опционом понимается право Общес</w:t>
      </w:r>
      <w:r>
        <w:rPr>
          <w:szCs w:val="24"/>
        </w:rPr>
        <w:t>тва уменьшать или увеличивать к</w:t>
      </w:r>
      <w:r w:rsidRPr="007F39EF">
        <w:rPr>
          <w:szCs w:val="24"/>
        </w:rPr>
        <w:t xml:space="preserve">оличество поставляемого </w:t>
      </w:r>
      <w:r>
        <w:rPr>
          <w:szCs w:val="24"/>
        </w:rPr>
        <w:t xml:space="preserve">в пределах согласованного </w:t>
      </w:r>
      <w:r w:rsidRPr="007F39EF">
        <w:rPr>
          <w:szCs w:val="24"/>
        </w:rPr>
        <w:t>количества без изменения остальных условий, в том числе, без изменения цен, сроков поставки, согласованных в договоре</w:t>
      </w:r>
      <w:r>
        <w:rPr>
          <w:szCs w:val="24"/>
        </w:rPr>
        <w:t>.</w:t>
      </w:r>
    </w:p>
    <w:p w:rsidR="00104244" w:rsidRPr="007F39EF" w:rsidRDefault="00104244" w:rsidP="00104244">
      <w:pPr>
        <w:ind w:firstLine="567"/>
        <w:jc w:val="both"/>
        <w:rPr>
          <w:szCs w:val="24"/>
        </w:rPr>
      </w:pPr>
      <w:r w:rsidRPr="007F39EF">
        <w:rPr>
          <w:szCs w:val="24"/>
        </w:rPr>
        <w:t xml:space="preserve">Подача одним участником закупки альтернативных оферт </w:t>
      </w:r>
      <w:r>
        <w:rPr>
          <w:szCs w:val="24"/>
        </w:rPr>
        <w:t>не допускается</w:t>
      </w:r>
      <w:r w:rsidRPr="007F39EF">
        <w:rPr>
          <w:szCs w:val="24"/>
        </w:rPr>
        <w:t>.</w:t>
      </w:r>
    </w:p>
    <w:p w:rsidR="00104244" w:rsidRPr="007F39EF" w:rsidRDefault="00104244" w:rsidP="00104244">
      <w:pPr>
        <w:ind w:firstLine="567"/>
        <w:jc w:val="both"/>
        <w:rPr>
          <w:szCs w:val="24"/>
        </w:rPr>
      </w:pPr>
      <w:r w:rsidRPr="007F39EF">
        <w:rPr>
          <w:szCs w:val="24"/>
        </w:rPr>
        <w:t xml:space="preserve">Предложение аналогов предмета закупки или вариантов условий оплаты не считаются альтернативными предложениями. </w:t>
      </w:r>
    </w:p>
    <w:p w:rsidR="00104244" w:rsidRDefault="00104244" w:rsidP="00104244">
      <w:pPr>
        <w:ind w:firstLine="567"/>
        <w:jc w:val="both"/>
        <w:rPr>
          <w:szCs w:val="24"/>
        </w:rPr>
      </w:pPr>
      <w:r w:rsidRPr="007F39EF">
        <w:rPr>
          <w:szCs w:val="24"/>
        </w:rPr>
        <w:t xml:space="preserve">Условия проекта договора (форма 3) являются окончательными и не подлежат каким-либо изменениям в процессе его заключения. </w:t>
      </w:r>
      <w:r>
        <w:rPr>
          <w:szCs w:val="24"/>
        </w:rPr>
        <w:t xml:space="preserve">Протокол разногласий, полученный от участника закупки в составе улучшенной коммерческой </w:t>
      </w:r>
      <w:proofErr w:type="gramStart"/>
      <w:r>
        <w:rPr>
          <w:szCs w:val="24"/>
        </w:rPr>
        <w:t>части  в</w:t>
      </w:r>
      <w:proofErr w:type="gramEnd"/>
      <w:r>
        <w:rPr>
          <w:szCs w:val="24"/>
        </w:rPr>
        <w:t xml:space="preserve"> рамках проведения одноэтапного тендера Обществом к рассмотрению не принимается. </w:t>
      </w:r>
      <w:r w:rsidRPr="007F39EF">
        <w:rPr>
          <w:szCs w:val="24"/>
        </w:rPr>
        <w:t xml:space="preserve">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 </w:t>
      </w:r>
    </w:p>
    <w:p w:rsidR="00104244" w:rsidRPr="00336754" w:rsidRDefault="00104244" w:rsidP="00104244">
      <w:pPr>
        <w:suppressAutoHyphens w:val="0"/>
        <w:ind w:firstLine="567"/>
        <w:jc w:val="both"/>
        <w:rPr>
          <w:szCs w:val="24"/>
        </w:rPr>
      </w:pPr>
      <w:r w:rsidRPr="00336754">
        <w:rPr>
          <w:szCs w:val="24"/>
        </w:rPr>
        <w:t xml:space="preserve">В случае полного или частичного </w:t>
      </w:r>
      <w:proofErr w:type="gramStart"/>
      <w:r w:rsidRPr="00336754">
        <w:rPr>
          <w:szCs w:val="24"/>
        </w:rPr>
        <w:t>отзыва</w:t>
      </w:r>
      <w:proofErr w:type="gramEnd"/>
      <w:r w:rsidRPr="00336754">
        <w:rPr>
          <w:szCs w:val="24"/>
        </w:rPr>
        <w:t xml:space="preserve"> или ухудшения безотзывной оферты Победитель обязуется, безусловно и безоговорочно, не позднее пяти календарных дней после отзыва или ухудшения безотзывной оферты, уплатить ОАО «</w:t>
      </w:r>
      <w:proofErr w:type="spellStart"/>
      <w:r w:rsidRPr="00336754">
        <w:rPr>
          <w:szCs w:val="24"/>
        </w:rPr>
        <w:t>Славнефть</w:t>
      </w:r>
      <w:proofErr w:type="spellEnd"/>
      <w:r w:rsidRPr="00336754">
        <w:rPr>
          <w:szCs w:val="24"/>
        </w:rPr>
        <w:t>-ЯНОС» штрафную неустойку в размере 5% от суммы Оферты. При несвоевременной или неполной уплате штрафной неустойки ОАО «</w:t>
      </w:r>
      <w:proofErr w:type="spellStart"/>
      <w:r w:rsidRPr="00336754">
        <w:rPr>
          <w:szCs w:val="24"/>
        </w:rPr>
        <w:t>Славнефть</w:t>
      </w:r>
      <w:proofErr w:type="spellEnd"/>
      <w:r w:rsidRPr="00336754">
        <w:rPr>
          <w:szCs w:val="24"/>
        </w:rPr>
        <w:t>-ЯНОС» вправе начислить, а Победитель обязуется уплатить пени в размере 0,5% от несвоевременно уплаченной суммы до момента полного погашения.</w:t>
      </w:r>
    </w:p>
    <w:p w:rsidR="00104244" w:rsidRDefault="00104244" w:rsidP="00104244">
      <w:pPr>
        <w:ind w:firstLine="567"/>
        <w:jc w:val="both"/>
        <w:rPr>
          <w:szCs w:val="24"/>
        </w:rPr>
      </w:pPr>
      <w:r w:rsidRPr="00336754">
        <w:rPr>
          <w:szCs w:val="24"/>
        </w:rPr>
        <w:t>Если по каким-либо причинам Победитель откажется (уклонится) от подписания договора на предложенных Победителем в оферте &lt;номер оферты&gt; от &lt;дата оферты&gt; условиях после получения уведомления об акцепте оферты со стороны ОАО «</w:t>
      </w:r>
      <w:proofErr w:type="spellStart"/>
      <w:r w:rsidRPr="00336754">
        <w:rPr>
          <w:szCs w:val="24"/>
        </w:rPr>
        <w:t>Славнефть</w:t>
      </w:r>
      <w:proofErr w:type="spellEnd"/>
      <w:r w:rsidRPr="00336754">
        <w:rPr>
          <w:szCs w:val="24"/>
        </w:rPr>
        <w:t xml:space="preserve">-ЯНОС», Победитель обязуется безусловно и безоговорочно, не позднее пяти календарных дней после истечения </w:t>
      </w:r>
      <w:r w:rsidRPr="00336754">
        <w:rPr>
          <w:szCs w:val="24"/>
        </w:rPr>
        <w:lastRenderedPageBreak/>
        <w:t>срока, установленного для подписания договора (или дня отказа), уплатить Обществу штрафную неустойку в размере 10% от суммы акцептованной Оферты. Победитель признает, что при несвоевременной или неполной уплате штрафной неустойки ОАО «</w:t>
      </w:r>
      <w:proofErr w:type="spellStart"/>
      <w:r w:rsidRPr="00336754">
        <w:rPr>
          <w:szCs w:val="24"/>
        </w:rPr>
        <w:t>Славнефть</w:t>
      </w:r>
      <w:proofErr w:type="spellEnd"/>
      <w:r w:rsidRPr="00336754">
        <w:rPr>
          <w:szCs w:val="24"/>
        </w:rPr>
        <w:t xml:space="preserve">-ЯНОС» вправе начислить, </w:t>
      </w:r>
      <w:r>
        <w:rPr>
          <w:szCs w:val="24"/>
        </w:rPr>
        <w:t xml:space="preserve">а </w:t>
      </w:r>
      <w:r w:rsidRPr="00336754">
        <w:rPr>
          <w:szCs w:val="24"/>
        </w:rPr>
        <w:t xml:space="preserve">Победитель </w:t>
      </w:r>
      <w:proofErr w:type="gramStart"/>
      <w:r w:rsidRPr="00336754">
        <w:rPr>
          <w:szCs w:val="24"/>
        </w:rPr>
        <w:t>обязан  уплатить</w:t>
      </w:r>
      <w:proofErr w:type="gramEnd"/>
      <w:r w:rsidRPr="00336754">
        <w:rPr>
          <w:szCs w:val="24"/>
        </w:rPr>
        <w:t>, пени в размере 0,5% от несвоевременно уплаченной суммы до момента полного погашения.</w:t>
      </w:r>
    </w:p>
    <w:p w:rsidR="00104244" w:rsidRPr="00F17F7C" w:rsidRDefault="00104244" w:rsidP="00104244">
      <w:pPr>
        <w:ind w:firstLine="567"/>
        <w:jc w:val="both"/>
        <w:rPr>
          <w:szCs w:val="24"/>
        </w:rPr>
      </w:pPr>
      <w:r w:rsidRPr="00F17F7C">
        <w:rPr>
          <w:szCs w:val="24"/>
        </w:rPr>
        <w:t xml:space="preserve">Тендер проводится в один этап: </w:t>
      </w:r>
      <w:proofErr w:type="gramStart"/>
      <w:r w:rsidRPr="00F17F7C">
        <w:rPr>
          <w:szCs w:val="24"/>
        </w:rPr>
        <w:t>оценка  Технико</w:t>
      </w:r>
      <w:proofErr w:type="gramEnd"/>
      <w:r w:rsidRPr="00F17F7C">
        <w:rPr>
          <w:szCs w:val="24"/>
        </w:rPr>
        <w:t>-Коммерческой части оферт.</w:t>
      </w:r>
    </w:p>
    <w:p w:rsidR="00104244" w:rsidRPr="00F17F7C" w:rsidRDefault="00104244" w:rsidP="00104244">
      <w:pPr>
        <w:pStyle w:val="a"/>
        <w:numPr>
          <w:ilvl w:val="0"/>
          <w:numId w:val="0"/>
        </w:numPr>
        <w:tabs>
          <w:tab w:val="left" w:pos="284"/>
        </w:tabs>
        <w:spacing w:before="0"/>
        <w:ind w:firstLine="567"/>
        <w:rPr>
          <w:rFonts w:ascii="Times New Roman" w:hAnsi="Times New Roman"/>
          <w:sz w:val="24"/>
          <w:szCs w:val="24"/>
        </w:rPr>
      </w:pPr>
      <w:r w:rsidRPr="00F17F7C">
        <w:rPr>
          <w:rFonts w:ascii="Times New Roman" w:hAnsi="Times New Roman"/>
          <w:sz w:val="24"/>
          <w:szCs w:val="24"/>
        </w:rPr>
        <w:t xml:space="preserve">Участникам закупки будет предложено повысить привлекательность своих оферт путем предоставления улучшенных </w:t>
      </w:r>
      <w:r w:rsidRPr="00F17F7C">
        <w:rPr>
          <w:rFonts w:ascii="Times New Roman" w:hAnsi="Times New Roman"/>
          <w:sz w:val="24"/>
          <w:szCs w:val="24"/>
          <w:lang w:val="ru-RU"/>
        </w:rPr>
        <w:t>Технико-К</w:t>
      </w:r>
      <w:proofErr w:type="spellStart"/>
      <w:r w:rsidRPr="00F17F7C">
        <w:rPr>
          <w:rFonts w:ascii="Times New Roman" w:hAnsi="Times New Roman"/>
          <w:sz w:val="24"/>
          <w:szCs w:val="24"/>
        </w:rPr>
        <w:t>оммерческих</w:t>
      </w:r>
      <w:proofErr w:type="spellEnd"/>
      <w:r w:rsidRPr="00F17F7C">
        <w:rPr>
          <w:rFonts w:ascii="Times New Roman" w:hAnsi="Times New Roman"/>
          <w:sz w:val="24"/>
          <w:szCs w:val="24"/>
        </w:rPr>
        <w:t xml:space="preserve"> частей оферт. О порядке и сроках предоставления улучшенных </w:t>
      </w:r>
      <w:r w:rsidRPr="00F17F7C">
        <w:rPr>
          <w:rFonts w:ascii="Times New Roman" w:hAnsi="Times New Roman"/>
          <w:sz w:val="24"/>
          <w:szCs w:val="24"/>
          <w:lang w:val="ru-RU"/>
        </w:rPr>
        <w:t>Технико-К</w:t>
      </w:r>
      <w:proofErr w:type="spellStart"/>
      <w:r w:rsidRPr="00F17F7C">
        <w:rPr>
          <w:rFonts w:ascii="Times New Roman" w:hAnsi="Times New Roman"/>
          <w:sz w:val="24"/>
          <w:szCs w:val="24"/>
        </w:rPr>
        <w:t>оммерческих</w:t>
      </w:r>
      <w:proofErr w:type="spellEnd"/>
      <w:r w:rsidRPr="00F17F7C">
        <w:rPr>
          <w:rFonts w:ascii="Times New Roman" w:hAnsi="Times New Roman"/>
          <w:sz w:val="24"/>
          <w:szCs w:val="24"/>
        </w:rPr>
        <w:t xml:space="preserve"> частей оферт</w:t>
      </w:r>
      <w:r w:rsidRPr="00F17F7C">
        <w:rPr>
          <w:rFonts w:ascii="Times New Roman" w:hAnsi="Times New Roman"/>
          <w:sz w:val="24"/>
          <w:szCs w:val="24"/>
          <w:lang w:val="ru-RU"/>
        </w:rPr>
        <w:t xml:space="preserve">, </w:t>
      </w:r>
      <w:r w:rsidRPr="00F17F7C">
        <w:rPr>
          <w:rFonts w:ascii="Times New Roman" w:hAnsi="Times New Roman"/>
          <w:sz w:val="24"/>
          <w:szCs w:val="24"/>
        </w:rPr>
        <w:t xml:space="preserve">участники закупки будут оповещены дополнительно. Если участник закупки не предоставит улучшенную </w:t>
      </w:r>
      <w:r w:rsidRPr="00F17F7C">
        <w:rPr>
          <w:rFonts w:ascii="Times New Roman" w:hAnsi="Times New Roman"/>
          <w:sz w:val="24"/>
          <w:szCs w:val="24"/>
          <w:lang w:val="ru-RU"/>
        </w:rPr>
        <w:t>Технико-К</w:t>
      </w:r>
      <w:proofErr w:type="spellStart"/>
      <w:r w:rsidRPr="00F17F7C">
        <w:rPr>
          <w:rFonts w:ascii="Times New Roman" w:hAnsi="Times New Roman"/>
          <w:sz w:val="24"/>
          <w:szCs w:val="24"/>
        </w:rPr>
        <w:t>оммерческую</w:t>
      </w:r>
      <w:proofErr w:type="spellEnd"/>
      <w:r w:rsidRPr="00F17F7C">
        <w:rPr>
          <w:rFonts w:ascii="Times New Roman" w:hAnsi="Times New Roman"/>
          <w:sz w:val="24"/>
          <w:szCs w:val="24"/>
        </w:rPr>
        <w:t xml:space="preserve"> часть оферты, действующей будет считаться последняя из поданных им </w:t>
      </w:r>
      <w:r w:rsidRPr="00F17F7C">
        <w:rPr>
          <w:rFonts w:ascii="Times New Roman" w:hAnsi="Times New Roman"/>
          <w:sz w:val="24"/>
          <w:szCs w:val="24"/>
          <w:lang w:val="ru-RU"/>
        </w:rPr>
        <w:t>Технико-К</w:t>
      </w:r>
      <w:proofErr w:type="spellStart"/>
      <w:r w:rsidRPr="00F17F7C">
        <w:rPr>
          <w:rFonts w:ascii="Times New Roman" w:hAnsi="Times New Roman"/>
          <w:sz w:val="24"/>
          <w:szCs w:val="24"/>
        </w:rPr>
        <w:t>оммерческая</w:t>
      </w:r>
      <w:proofErr w:type="spellEnd"/>
      <w:r w:rsidRPr="00F17F7C">
        <w:rPr>
          <w:rFonts w:ascii="Times New Roman" w:hAnsi="Times New Roman"/>
          <w:sz w:val="24"/>
          <w:szCs w:val="24"/>
        </w:rPr>
        <w:t xml:space="preserve"> часть оферты.</w:t>
      </w:r>
    </w:p>
    <w:p w:rsidR="00104244" w:rsidRPr="00F17F7C" w:rsidRDefault="00104244" w:rsidP="00104244">
      <w:pPr>
        <w:pStyle w:val="a"/>
        <w:numPr>
          <w:ilvl w:val="0"/>
          <w:numId w:val="0"/>
        </w:numPr>
        <w:tabs>
          <w:tab w:val="left" w:pos="284"/>
        </w:tabs>
        <w:spacing w:before="0"/>
        <w:ind w:firstLine="567"/>
        <w:rPr>
          <w:rFonts w:ascii="Times New Roman" w:hAnsi="Times New Roman"/>
          <w:sz w:val="24"/>
          <w:szCs w:val="24"/>
        </w:rPr>
      </w:pPr>
      <w:r w:rsidRPr="00F17F7C">
        <w:rPr>
          <w:rFonts w:ascii="Times New Roman" w:hAnsi="Times New Roman"/>
          <w:sz w:val="24"/>
          <w:szCs w:val="24"/>
        </w:rPr>
        <w:t xml:space="preserve">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w:t>
      </w:r>
      <w:r w:rsidRPr="00F17F7C">
        <w:rPr>
          <w:rFonts w:ascii="Times New Roman" w:hAnsi="Times New Roman"/>
          <w:sz w:val="24"/>
          <w:szCs w:val="24"/>
          <w:lang w:val="ru-RU"/>
        </w:rPr>
        <w:t>Технико-К</w:t>
      </w:r>
      <w:proofErr w:type="spellStart"/>
      <w:r w:rsidRPr="00F17F7C">
        <w:rPr>
          <w:rFonts w:ascii="Times New Roman" w:hAnsi="Times New Roman"/>
          <w:sz w:val="24"/>
          <w:szCs w:val="24"/>
        </w:rPr>
        <w:t>оммерческая</w:t>
      </w:r>
      <w:proofErr w:type="spellEnd"/>
      <w:r w:rsidRPr="00F17F7C">
        <w:rPr>
          <w:rFonts w:ascii="Times New Roman" w:hAnsi="Times New Roman"/>
          <w:sz w:val="24"/>
          <w:szCs w:val="24"/>
        </w:rPr>
        <w:t xml:space="preserve"> часть оферты.</w:t>
      </w:r>
    </w:p>
    <w:p w:rsidR="00104244" w:rsidRPr="00F17F7C" w:rsidRDefault="00104244" w:rsidP="00104244">
      <w:pPr>
        <w:ind w:firstLine="567"/>
        <w:jc w:val="both"/>
        <w:rPr>
          <w:szCs w:val="24"/>
        </w:rPr>
      </w:pPr>
      <w:r w:rsidRPr="00F17F7C">
        <w:rPr>
          <w:szCs w:val="24"/>
        </w:rPr>
        <w:t>Общество оставляет за собой право акцептовать любое из поступивших предложений, либо не акцептовать ни одно из них.</w:t>
      </w:r>
    </w:p>
    <w:p w:rsidR="00104244" w:rsidRPr="00F17F7C" w:rsidRDefault="00104244" w:rsidP="00104244">
      <w:pPr>
        <w:ind w:firstLine="567"/>
        <w:jc w:val="both"/>
        <w:rPr>
          <w:szCs w:val="24"/>
        </w:rPr>
      </w:pPr>
      <w:r w:rsidRPr="00F17F7C">
        <w:rPr>
          <w:szCs w:val="24"/>
        </w:rPr>
        <w:t xml:space="preserve">В случае Вашей заинтересованности в участии в закупке предлагаем направить в адрес Общества оферту по прилагаемой форме. Предложения должны оформляться безотзывными офертами </w:t>
      </w:r>
      <w:r w:rsidRPr="00250CC3">
        <w:rPr>
          <w:szCs w:val="24"/>
        </w:rPr>
        <w:t>со сроком для акцепта</w:t>
      </w:r>
      <w:r w:rsidRPr="00F17F7C">
        <w:rPr>
          <w:b/>
          <w:szCs w:val="24"/>
        </w:rPr>
        <w:t xml:space="preserve"> </w:t>
      </w:r>
      <w:r w:rsidRPr="000A780E">
        <w:rPr>
          <w:szCs w:val="24"/>
        </w:rPr>
        <w:t xml:space="preserve">до </w:t>
      </w:r>
      <w:r>
        <w:rPr>
          <w:szCs w:val="24"/>
        </w:rPr>
        <w:t>28.02.2018</w:t>
      </w:r>
      <w:r w:rsidRPr="000A780E">
        <w:rPr>
          <w:szCs w:val="24"/>
        </w:rPr>
        <w:t>г</w:t>
      </w:r>
      <w:r w:rsidRPr="00F17F7C">
        <w:rPr>
          <w:b/>
          <w:szCs w:val="24"/>
        </w:rPr>
        <w:t>.</w:t>
      </w:r>
      <w:r w:rsidRPr="00F17F7C">
        <w:rPr>
          <w:szCs w:val="24"/>
        </w:rPr>
        <w:t xml:space="preserve"> включительно, соответствовать всем условиям, указанным в настоящем извещении.</w:t>
      </w:r>
    </w:p>
    <w:p w:rsidR="00104244" w:rsidRPr="00F17F7C" w:rsidRDefault="00104244" w:rsidP="00104244">
      <w:pPr>
        <w:ind w:firstLine="567"/>
        <w:jc w:val="both"/>
        <w:rPr>
          <w:szCs w:val="24"/>
        </w:rPr>
      </w:pPr>
      <w:r w:rsidRPr="00F17F7C">
        <w:rPr>
          <w:szCs w:val="24"/>
        </w:rPr>
        <w:t>Офертой контрагента будет считаться следующий комплект документов:</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Извещение о согласии сделать оферту (форма 4, подписанная уполномоченным лицом и заверенная печатью участника закупки);</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Предложение о заключении договора с указанием стоимости (форма 5, подписанная уполномоченным лицом и заверенная печатью участника закупки);</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Технико-Коммерческое предложение (форма 6, подписанная уполномоченным лицом и заверенная печатью участника закупки)</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Подписанный проект договора и приложения (спецификации), предложенный участником закупки, без указания стоимости (форма 3, подписанная уполномоченным лицом и заверенная печатью участника закупки);</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Перечень аффилированных организаций (форма 7, подписанная уполномоченным лицом и заверенная печатью участника закупки);</w:t>
      </w:r>
    </w:p>
    <w:p w:rsidR="00104244"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Копия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104244" w:rsidRPr="00F31D48" w:rsidRDefault="00104244" w:rsidP="00104244">
      <w:pPr>
        <w:pStyle w:val="a7"/>
        <w:numPr>
          <w:ilvl w:val="0"/>
          <w:numId w:val="2"/>
        </w:numPr>
        <w:suppressAutoHyphens w:val="0"/>
        <w:spacing w:before="20"/>
        <w:ind w:left="0" w:firstLine="0"/>
        <w:contextualSpacing w:val="0"/>
        <w:jc w:val="both"/>
      </w:pPr>
      <w:r w:rsidRPr="00585755">
        <w:t>Письменная информация, подтверждающая отсутствие изменений в уставных и регистрационных документах. В случае, если изменения в уставные и регистрационные документы вносились, предоставить заверенные копии соответствующих измененных документов. (</w:t>
      </w:r>
      <w:r w:rsidRPr="00F17F7C">
        <w:rPr>
          <w:szCs w:val="24"/>
        </w:rPr>
        <w:t xml:space="preserve">форма </w:t>
      </w:r>
      <w:r>
        <w:rPr>
          <w:szCs w:val="24"/>
        </w:rPr>
        <w:t>8</w:t>
      </w:r>
      <w:r w:rsidRPr="00F17F7C">
        <w:rPr>
          <w:szCs w:val="24"/>
        </w:rPr>
        <w:t>, подписанная уполномоченным лицом и заверенная печатью участника закупки)</w:t>
      </w:r>
    </w:p>
    <w:p w:rsidR="00104244" w:rsidRPr="003B4246" w:rsidRDefault="00104244" w:rsidP="00104244">
      <w:pPr>
        <w:pStyle w:val="a7"/>
        <w:numPr>
          <w:ilvl w:val="0"/>
          <w:numId w:val="2"/>
        </w:numPr>
        <w:suppressAutoHyphens w:val="0"/>
        <w:spacing w:before="20"/>
        <w:ind w:left="0" w:firstLine="0"/>
        <w:contextualSpacing w:val="0"/>
        <w:jc w:val="both"/>
      </w:pPr>
      <w:r w:rsidRPr="00585755">
        <w:t>Письменная информация, подтверждающая отсутствие необходимости в одобрении сделки как крупной органами управления либо, если сделка является крупной – подтверждающую факт одобрения данной сделки уполномоченным органом управления. (</w:t>
      </w:r>
      <w:r w:rsidRPr="00F17F7C">
        <w:rPr>
          <w:szCs w:val="24"/>
        </w:rPr>
        <w:t xml:space="preserve">форма </w:t>
      </w:r>
      <w:r>
        <w:rPr>
          <w:szCs w:val="24"/>
        </w:rPr>
        <w:t>9</w:t>
      </w:r>
      <w:r w:rsidRPr="00F17F7C">
        <w:rPr>
          <w:szCs w:val="24"/>
        </w:rPr>
        <w:t>, подписанная уполномоченным лицом и заверенная печатью участника закупки)</w:t>
      </w:r>
    </w:p>
    <w:p w:rsidR="00104244" w:rsidRPr="00F17F7C" w:rsidRDefault="00104244" w:rsidP="00104244">
      <w:pPr>
        <w:pStyle w:val="a7"/>
        <w:numPr>
          <w:ilvl w:val="0"/>
          <w:numId w:val="2"/>
        </w:numPr>
        <w:tabs>
          <w:tab w:val="left" w:pos="709"/>
        </w:tabs>
        <w:suppressAutoHyphens w:val="0"/>
        <w:ind w:left="0" w:firstLine="0"/>
        <w:contextualSpacing w:val="0"/>
        <w:jc w:val="both"/>
        <w:rPr>
          <w:szCs w:val="24"/>
        </w:rPr>
      </w:pPr>
      <w:r w:rsidRPr="00F17F7C">
        <w:rPr>
          <w:szCs w:val="24"/>
        </w:rPr>
        <w:t>Опись документов оферты (подписанная уполномоченным лицом и заверенная печатью участника закупки);</w:t>
      </w:r>
    </w:p>
    <w:p w:rsidR="00104244" w:rsidRPr="00F17F7C" w:rsidRDefault="00104244" w:rsidP="00104244">
      <w:pPr>
        <w:ind w:firstLine="567"/>
        <w:jc w:val="both"/>
        <w:rPr>
          <w:szCs w:val="24"/>
        </w:rPr>
      </w:pPr>
      <w:r w:rsidRPr="00F17F7C">
        <w:rPr>
          <w:szCs w:val="24"/>
        </w:rPr>
        <w:lastRenderedPageBreak/>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04244" w:rsidRPr="00F17F7C" w:rsidRDefault="00104244" w:rsidP="00104244">
      <w:pPr>
        <w:ind w:firstLine="567"/>
        <w:jc w:val="both"/>
        <w:rPr>
          <w:szCs w:val="24"/>
        </w:rPr>
      </w:pPr>
      <w:r w:rsidRPr="00F17F7C">
        <w:rPr>
          <w:szCs w:val="24"/>
        </w:rPr>
        <w:t>Оферта предоставляется на русском языке.</w:t>
      </w:r>
    </w:p>
    <w:p w:rsidR="00104244" w:rsidRPr="00F17F7C" w:rsidRDefault="00104244" w:rsidP="00104244">
      <w:pPr>
        <w:ind w:firstLine="567"/>
        <w:jc w:val="both"/>
        <w:rPr>
          <w:szCs w:val="24"/>
        </w:rPr>
      </w:pPr>
      <w:r w:rsidRPr="00F17F7C">
        <w:rPr>
          <w:szCs w:val="24"/>
        </w:rPr>
        <w:t xml:space="preserve">Все суммы денежных средств в оферте и приложениях к ней должны быть выражены в российских рублях. </w:t>
      </w:r>
    </w:p>
    <w:p w:rsidR="00104244" w:rsidRPr="00F17F7C" w:rsidRDefault="00104244" w:rsidP="00104244">
      <w:pPr>
        <w:ind w:firstLine="567"/>
        <w:jc w:val="both"/>
        <w:rPr>
          <w:szCs w:val="24"/>
        </w:rPr>
      </w:pPr>
      <w:r w:rsidRPr="00F17F7C">
        <w:rPr>
          <w:szCs w:val="24"/>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p>
    <w:p w:rsidR="00104244" w:rsidRPr="00F17F7C" w:rsidRDefault="00104244" w:rsidP="00104244">
      <w:pPr>
        <w:widowControl w:val="0"/>
        <w:overflowPunct w:val="0"/>
        <w:autoSpaceDE w:val="0"/>
        <w:autoSpaceDN w:val="0"/>
        <w:adjustRightInd w:val="0"/>
        <w:ind w:firstLine="567"/>
        <w:jc w:val="both"/>
        <w:rPr>
          <w:kern w:val="28"/>
          <w:szCs w:val="24"/>
        </w:rPr>
      </w:pPr>
      <w:r w:rsidRPr="00F17F7C">
        <w:rPr>
          <w:kern w:val="28"/>
          <w:szCs w:val="24"/>
        </w:rPr>
        <w:t>Оферты принимаются только в конвертах. Оферты, направленные по электронной почте, к рассмотрению не принимаются.</w:t>
      </w:r>
    </w:p>
    <w:p w:rsidR="00104244" w:rsidRPr="00F17F7C" w:rsidRDefault="00104244" w:rsidP="00104244">
      <w:pPr>
        <w:ind w:firstLine="567"/>
        <w:jc w:val="both"/>
        <w:rPr>
          <w:szCs w:val="24"/>
        </w:rPr>
      </w:pPr>
      <w:r w:rsidRPr="00F17F7C">
        <w:rPr>
          <w:kern w:val="28"/>
          <w:szCs w:val="24"/>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F17F7C">
        <w:rPr>
          <w:szCs w:val="24"/>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104244" w:rsidRPr="00F17F7C" w:rsidRDefault="00104244" w:rsidP="00104244">
      <w:pPr>
        <w:widowControl w:val="0"/>
        <w:overflowPunct w:val="0"/>
        <w:autoSpaceDE w:val="0"/>
        <w:autoSpaceDN w:val="0"/>
        <w:adjustRightInd w:val="0"/>
        <w:ind w:firstLine="567"/>
        <w:jc w:val="both"/>
        <w:rPr>
          <w:szCs w:val="24"/>
        </w:rPr>
      </w:pPr>
      <w:r w:rsidRPr="00F17F7C">
        <w:rPr>
          <w:szCs w:val="24"/>
        </w:rPr>
        <w:t>Учитывая, что тендер проводится в один этап, участник закупки передает два конверта документов:</w:t>
      </w:r>
    </w:p>
    <w:p w:rsidR="00104244" w:rsidRPr="00F17F7C" w:rsidRDefault="00104244" w:rsidP="00104244">
      <w:pPr>
        <w:pStyle w:val="a7"/>
        <w:numPr>
          <w:ilvl w:val="0"/>
          <w:numId w:val="2"/>
        </w:numPr>
        <w:suppressAutoHyphens w:val="0"/>
        <w:ind w:left="0" w:firstLine="0"/>
        <w:contextualSpacing w:val="0"/>
        <w:jc w:val="both"/>
        <w:rPr>
          <w:szCs w:val="24"/>
        </w:rPr>
      </w:pPr>
      <w:r w:rsidRPr="00F17F7C">
        <w:rPr>
          <w:szCs w:val="24"/>
        </w:rPr>
        <w:t>первый конверт с надписью «Технико-коммерческая часть» (с пометкой «Оригинал»), содержащий оригиналы или надлежащим образом заверенные копии документов Технико-коммерческой части оферты;</w:t>
      </w:r>
    </w:p>
    <w:p w:rsidR="00104244" w:rsidRPr="00F17F7C" w:rsidRDefault="00104244" w:rsidP="00104244">
      <w:pPr>
        <w:pStyle w:val="a7"/>
        <w:numPr>
          <w:ilvl w:val="0"/>
          <w:numId w:val="2"/>
        </w:numPr>
        <w:suppressAutoHyphens w:val="0"/>
        <w:ind w:left="0" w:firstLine="0"/>
        <w:contextualSpacing w:val="0"/>
        <w:jc w:val="both"/>
        <w:rPr>
          <w:szCs w:val="24"/>
        </w:rPr>
      </w:pPr>
      <w:proofErr w:type="gramStart"/>
      <w:r w:rsidRPr="00F17F7C">
        <w:rPr>
          <w:szCs w:val="24"/>
        </w:rPr>
        <w:t>второй  конверт</w:t>
      </w:r>
      <w:proofErr w:type="gramEnd"/>
      <w:r w:rsidRPr="00F17F7C">
        <w:rPr>
          <w:szCs w:val="24"/>
        </w:rPr>
        <w:t xml:space="preserve"> с надписью «Технико-коммерческая часть» (с пометкой «Копия»), содержащий копии документов, находящихся в первом конверте.</w:t>
      </w:r>
    </w:p>
    <w:p w:rsidR="00104244" w:rsidRPr="00F17F7C" w:rsidRDefault="00104244" w:rsidP="00104244">
      <w:pPr>
        <w:widowControl w:val="0"/>
        <w:overflowPunct w:val="0"/>
        <w:autoSpaceDE w:val="0"/>
        <w:autoSpaceDN w:val="0"/>
        <w:adjustRightInd w:val="0"/>
        <w:ind w:firstLine="567"/>
        <w:jc w:val="both"/>
        <w:rPr>
          <w:kern w:val="28"/>
          <w:szCs w:val="24"/>
        </w:rPr>
      </w:pPr>
      <w:r w:rsidRPr="00F17F7C">
        <w:rPr>
          <w:szCs w:val="24"/>
        </w:rPr>
        <w:t>Документы в конверте с пометкой «Оригинал» являются официальной офертой.</w:t>
      </w:r>
    </w:p>
    <w:p w:rsidR="00104244" w:rsidRPr="00F17F7C" w:rsidRDefault="00104244" w:rsidP="00104244">
      <w:pPr>
        <w:widowControl w:val="0"/>
        <w:overflowPunct w:val="0"/>
        <w:autoSpaceDE w:val="0"/>
        <w:autoSpaceDN w:val="0"/>
        <w:adjustRightInd w:val="0"/>
        <w:ind w:firstLine="567"/>
        <w:jc w:val="both"/>
        <w:rPr>
          <w:kern w:val="28"/>
          <w:szCs w:val="24"/>
        </w:rPr>
      </w:pPr>
      <w:r w:rsidRPr="00F17F7C">
        <w:rPr>
          <w:kern w:val="28"/>
          <w:szCs w:val="24"/>
        </w:rPr>
        <w:t>В конверт</w:t>
      </w:r>
      <w:r>
        <w:rPr>
          <w:kern w:val="28"/>
          <w:szCs w:val="24"/>
        </w:rPr>
        <w:t>ы</w:t>
      </w:r>
      <w:r w:rsidRPr="00F17F7C">
        <w:rPr>
          <w:kern w:val="28"/>
          <w:szCs w:val="24"/>
        </w:rPr>
        <w:t xml:space="preserve"> с пометкой «Оригинал» </w:t>
      </w:r>
      <w:r>
        <w:rPr>
          <w:kern w:val="28"/>
          <w:szCs w:val="24"/>
        </w:rPr>
        <w:t xml:space="preserve">и «Копия» </w:t>
      </w:r>
      <w:r w:rsidRPr="00F17F7C">
        <w:rPr>
          <w:kern w:val="28"/>
          <w:szCs w:val="24"/>
        </w:rPr>
        <w:t>вкладыва</w:t>
      </w:r>
      <w:r>
        <w:rPr>
          <w:kern w:val="28"/>
          <w:szCs w:val="24"/>
        </w:rPr>
        <w:t>ются</w:t>
      </w:r>
      <w:r w:rsidRPr="00F17F7C">
        <w:rPr>
          <w:kern w:val="28"/>
          <w:szCs w:val="24"/>
        </w:rPr>
        <w:t xml:space="preserve"> диск</w:t>
      </w:r>
      <w:r>
        <w:rPr>
          <w:kern w:val="28"/>
          <w:szCs w:val="24"/>
        </w:rPr>
        <w:t>и</w:t>
      </w:r>
      <w:r w:rsidRPr="00F17F7C">
        <w:rPr>
          <w:kern w:val="28"/>
          <w:szCs w:val="24"/>
        </w:rPr>
        <w:t xml:space="preserve"> или ин</w:t>
      </w:r>
      <w:r>
        <w:rPr>
          <w:kern w:val="28"/>
          <w:szCs w:val="24"/>
        </w:rPr>
        <w:t>ые</w:t>
      </w:r>
      <w:r w:rsidRPr="00F17F7C">
        <w:rPr>
          <w:kern w:val="28"/>
          <w:szCs w:val="24"/>
        </w:rPr>
        <w:t xml:space="preserve"> электронны</w:t>
      </w:r>
      <w:r>
        <w:rPr>
          <w:kern w:val="28"/>
          <w:szCs w:val="24"/>
        </w:rPr>
        <w:t>е</w:t>
      </w:r>
      <w:r w:rsidRPr="00F17F7C">
        <w:rPr>
          <w:kern w:val="28"/>
          <w:szCs w:val="24"/>
        </w:rPr>
        <w:t xml:space="preserve"> носител</w:t>
      </w:r>
      <w:r>
        <w:rPr>
          <w:kern w:val="28"/>
          <w:szCs w:val="24"/>
        </w:rPr>
        <w:t>и</w:t>
      </w:r>
      <w:r w:rsidRPr="00F17F7C">
        <w:rPr>
          <w:kern w:val="28"/>
          <w:szCs w:val="24"/>
        </w:rPr>
        <w:t xml:space="preserve"> информации с электронными скан-копиям всех документов этого конверта. Скан-копии копии </w:t>
      </w:r>
      <w:proofErr w:type="gramStart"/>
      <w:r w:rsidRPr="00F17F7C">
        <w:rPr>
          <w:kern w:val="28"/>
          <w:szCs w:val="24"/>
        </w:rPr>
        <w:t>документов  должны</w:t>
      </w:r>
      <w:proofErr w:type="gramEnd"/>
      <w:r w:rsidRPr="00F17F7C">
        <w:rPr>
          <w:kern w:val="28"/>
          <w:szCs w:val="24"/>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104244" w:rsidRPr="0095493C" w:rsidRDefault="00104244" w:rsidP="00104244">
      <w:pPr>
        <w:widowControl w:val="0"/>
        <w:overflowPunct w:val="0"/>
        <w:autoSpaceDE w:val="0"/>
        <w:autoSpaceDN w:val="0"/>
        <w:adjustRightInd w:val="0"/>
        <w:ind w:firstLine="567"/>
        <w:jc w:val="both"/>
        <w:rPr>
          <w:szCs w:val="24"/>
        </w:rPr>
      </w:pPr>
      <w:r w:rsidRPr="0095493C">
        <w:rPr>
          <w:kern w:val="28"/>
          <w:szCs w:val="24"/>
        </w:rPr>
        <w:t xml:space="preserve">Электронный носитель информации должен содержать также исходные </w:t>
      </w:r>
      <w:r w:rsidRPr="0095493C">
        <w:rPr>
          <w:szCs w:val="24"/>
        </w:rPr>
        <w:t xml:space="preserve">электронные версии </w:t>
      </w:r>
      <w:r w:rsidRPr="0095493C">
        <w:rPr>
          <w:kern w:val="28"/>
          <w:szCs w:val="24"/>
        </w:rPr>
        <w:t xml:space="preserve">(в формате </w:t>
      </w:r>
      <w:r w:rsidRPr="0095493C">
        <w:rPr>
          <w:kern w:val="28"/>
          <w:szCs w:val="24"/>
          <w:lang w:val="en-US"/>
        </w:rPr>
        <w:t>MS</w:t>
      </w:r>
      <w:r w:rsidRPr="0095493C">
        <w:rPr>
          <w:kern w:val="28"/>
          <w:szCs w:val="24"/>
        </w:rPr>
        <w:t xml:space="preserve"> </w:t>
      </w:r>
      <w:r w:rsidRPr="0095493C">
        <w:rPr>
          <w:kern w:val="28"/>
          <w:szCs w:val="24"/>
          <w:lang w:val="en-US"/>
        </w:rPr>
        <w:t>Excel</w:t>
      </w:r>
      <w:r w:rsidRPr="0095493C">
        <w:rPr>
          <w:kern w:val="28"/>
          <w:szCs w:val="24"/>
        </w:rPr>
        <w:t xml:space="preserve">, </w:t>
      </w:r>
      <w:r w:rsidRPr="0095493C">
        <w:rPr>
          <w:kern w:val="28"/>
          <w:szCs w:val="24"/>
          <w:lang w:val="en-US"/>
        </w:rPr>
        <w:t>MS</w:t>
      </w:r>
      <w:r w:rsidRPr="0095493C">
        <w:rPr>
          <w:kern w:val="28"/>
          <w:szCs w:val="24"/>
        </w:rPr>
        <w:t xml:space="preserve"> </w:t>
      </w:r>
      <w:r w:rsidRPr="0095493C">
        <w:rPr>
          <w:kern w:val="28"/>
          <w:szCs w:val="24"/>
          <w:lang w:val="en-US"/>
        </w:rPr>
        <w:t>Word</w:t>
      </w:r>
      <w:r w:rsidRPr="0095493C">
        <w:rPr>
          <w:kern w:val="28"/>
          <w:szCs w:val="24"/>
        </w:rPr>
        <w:t>)</w:t>
      </w:r>
      <w:r w:rsidRPr="0095493C">
        <w:rPr>
          <w:szCs w:val="24"/>
        </w:rPr>
        <w:t xml:space="preserve"> Формы 6 «Технико-Коммерческая часть».</w:t>
      </w:r>
    </w:p>
    <w:p w:rsidR="00104244" w:rsidRPr="00F17F7C" w:rsidRDefault="00104244" w:rsidP="00104244">
      <w:pPr>
        <w:spacing w:line="276" w:lineRule="auto"/>
        <w:ind w:firstLine="567"/>
        <w:jc w:val="both"/>
        <w:rPr>
          <w:szCs w:val="24"/>
        </w:rPr>
      </w:pPr>
      <w:r w:rsidRPr="00F17F7C">
        <w:rPr>
          <w:szCs w:val="24"/>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Pr="00F17F7C">
        <w:rPr>
          <w:b/>
          <w:szCs w:val="24"/>
          <w:u w:val="single"/>
        </w:rPr>
        <w:t xml:space="preserve">150023, </w:t>
      </w:r>
      <w:r>
        <w:rPr>
          <w:b/>
          <w:szCs w:val="24"/>
          <w:u w:val="single"/>
        </w:rPr>
        <w:t xml:space="preserve">Ярославская обл., </w:t>
      </w:r>
      <w:r w:rsidRPr="00F17F7C">
        <w:rPr>
          <w:b/>
          <w:szCs w:val="24"/>
          <w:u w:val="single"/>
        </w:rPr>
        <w:t>г. Ярославль, Московский пр., д.130, в Тендерный комитет.</w:t>
      </w:r>
    </w:p>
    <w:p w:rsidR="00104244" w:rsidRPr="007F39EF" w:rsidRDefault="00104244" w:rsidP="00104244">
      <w:pPr>
        <w:ind w:left="708"/>
        <w:jc w:val="both"/>
        <w:rPr>
          <w:b/>
          <w:szCs w:val="24"/>
        </w:rPr>
      </w:pPr>
      <w:r w:rsidRPr="007F39EF">
        <w:rPr>
          <w:b/>
          <w:szCs w:val="24"/>
        </w:rPr>
        <w:t>Начало приема оферт – «</w:t>
      </w:r>
      <w:proofErr w:type="gramStart"/>
      <w:r>
        <w:rPr>
          <w:b/>
          <w:szCs w:val="24"/>
        </w:rPr>
        <w:t>11</w:t>
      </w:r>
      <w:r w:rsidRPr="007F39EF">
        <w:rPr>
          <w:b/>
          <w:szCs w:val="24"/>
        </w:rPr>
        <w:t>»</w:t>
      </w:r>
      <w:r>
        <w:rPr>
          <w:b/>
          <w:szCs w:val="24"/>
        </w:rPr>
        <w:t xml:space="preserve">  декабря</w:t>
      </w:r>
      <w:proofErr w:type="gramEnd"/>
      <w:r>
        <w:rPr>
          <w:b/>
          <w:szCs w:val="24"/>
        </w:rPr>
        <w:t xml:space="preserve"> 2017</w:t>
      </w:r>
      <w:r w:rsidRPr="007F39EF">
        <w:rPr>
          <w:b/>
          <w:szCs w:val="24"/>
        </w:rPr>
        <w:t xml:space="preserve"> года.</w:t>
      </w:r>
    </w:p>
    <w:p w:rsidR="00104244" w:rsidRPr="007F39EF" w:rsidRDefault="00104244" w:rsidP="00104244">
      <w:pPr>
        <w:ind w:left="708"/>
        <w:jc w:val="both"/>
        <w:rPr>
          <w:b/>
          <w:szCs w:val="24"/>
        </w:rPr>
      </w:pPr>
      <w:r w:rsidRPr="007F39EF">
        <w:rPr>
          <w:b/>
          <w:szCs w:val="24"/>
        </w:rPr>
        <w:t xml:space="preserve">Окончание приема оферт – </w:t>
      </w:r>
      <w:r>
        <w:rPr>
          <w:b/>
          <w:szCs w:val="24"/>
        </w:rPr>
        <w:t xml:space="preserve">15:00 (МСК) </w:t>
      </w:r>
      <w:r w:rsidRPr="007F39EF">
        <w:rPr>
          <w:b/>
          <w:szCs w:val="24"/>
        </w:rPr>
        <w:t>«</w:t>
      </w:r>
      <w:r>
        <w:rPr>
          <w:b/>
          <w:szCs w:val="24"/>
        </w:rPr>
        <w:t>25</w:t>
      </w:r>
      <w:r w:rsidRPr="007F39EF">
        <w:rPr>
          <w:b/>
          <w:szCs w:val="24"/>
        </w:rPr>
        <w:t xml:space="preserve">» </w:t>
      </w:r>
      <w:r>
        <w:rPr>
          <w:b/>
          <w:szCs w:val="24"/>
        </w:rPr>
        <w:t xml:space="preserve">декабря 2017 </w:t>
      </w:r>
      <w:r w:rsidRPr="007F39EF">
        <w:rPr>
          <w:b/>
          <w:szCs w:val="24"/>
        </w:rPr>
        <w:t>года.</w:t>
      </w:r>
    </w:p>
    <w:p w:rsidR="00104244" w:rsidRPr="007F39EF" w:rsidRDefault="00104244" w:rsidP="00104244">
      <w:pPr>
        <w:ind w:left="708"/>
        <w:jc w:val="both"/>
        <w:rPr>
          <w:b/>
          <w:szCs w:val="24"/>
        </w:rPr>
      </w:pPr>
      <w:r w:rsidRPr="007F39EF">
        <w:rPr>
          <w:b/>
          <w:szCs w:val="24"/>
        </w:rPr>
        <w:t xml:space="preserve">Срок для определения победителя – до </w:t>
      </w:r>
      <w:r>
        <w:rPr>
          <w:b/>
          <w:szCs w:val="24"/>
        </w:rPr>
        <w:t xml:space="preserve">28.02.2018 </w:t>
      </w:r>
      <w:r w:rsidRPr="007F39EF">
        <w:rPr>
          <w:b/>
          <w:szCs w:val="24"/>
        </w:rPr>
        <w:t>года.</w:t>
      </w:r>
    </w:p>
    <w:p w:rsidR="003D57BB" w:rsidRDefault="003D57BB" w:rsidP="00104244">
      <w:pPr>
        <w:ind w:firstLine="708"/>
        <w:jc w:val="both"/>
        <w:rPr>
          <w:b/>
          <w:i/>
          <w:szCs w:val="24"/>
        </w:rPr>
      </w:pPr>
    </w:p>
    <w:p w:rsidR="00104244" w:rsidRDefault="00104244" w:rsidP="00104244">
      <w:pPr>
        <w:ind w:firstLine="708"/>
        <w:jc w:val="both"/>
        <w:rPr>
          <w:b/>
          <w:i/>
          <w:szCs w:val="24"/>
        </w:rPr>
      </w:pPr>
      <w:r w:rsidRPr="002D43BE">
        <w:rPr>
          <w:b/>
          <w:i/>
          <w:szCs w:val="24"/>
        </w:rPr>
        <w:t>Оферты, полученные позже указанного срока, к рассмотрению не принимаются.</w:t>
      </w:r>
    </w:p>
    <w:p w:rsidR="003D57BB" w:rsidRDefault="003D57BB" w:rsidP="00104244">
      <w:pPr>
        <w:ind w:firstLine="708"/>
        <w:jc w:val="both"/>
        <w:rPr>
          <w:b/>
          <w:i/>
          <w:szCs w:val="24"/>
        </w:rPr>
      </w:pPr>
    </w:p>
    <w:p w:rsidR="002721F7" w:rsidRPr="003D57BB" w:rsidRDefault="002721F7" w:rsidP="003D57BB">
      <w:pPr>
        <w:ind w:firstLine="709"/>
        <w:jc w:val="both"/>
        <w:rPr>
          <w:snapToGrid w:val="0"/>
          <w:color w:val="002060"/>
          <w:highlight w:val="yellow"/>
        </w:rPr>
      </w:pPr>
      <w:r w:rsidRPr="003D57BB">
        <w:rPr>
          <w:snapToGrid w:val="0"/>
          <w:color w:val="002060"/>
          <w:highlight w:val="yellow"/>
        </w:rPr>
        <w:t>Материалы</w:t>
      </w:r>
      <w:r w:rsidRPr="003D57BB">
        <w:rPr>
          <w:snapToGrid w:val="0"/>
          <w:color w:val="002060"/>
          <w:highlight w:val="yellow"/>
        </w:rPr>
        <w:t xml:space="preserve"> </w:t>
      </w:r>
      <w:r w:rsidRPr="003D57BB">
        <w:rPr>
          <w:snapToGrid w:val="0"/>
          <w:color w:val="002060"/>
          <w:highlight w:val="yellow"/>
        </w:rPr>
        <w:t>ПДО, в связи с большим объемом, можно скачать по ссылке:</w:t>
      </w:r>
    </w:p>
    <w:p w:rsidR="003D57BB" w:rsidRPr="003D57BB" w:rsidRDefault="003D57BB" w:rsidP="003D57BB">
      <w:pPr>
        <w:ind w:firstLine="709"/>
        <w:jc w:val="both"/>
        <w:rPr>
          <w:rFonts w:eastAsia="Times New Roman" w:cs="Helvetica"/>
          <w:color w:val="333333"/>
          <w:szCs w:val="24"/>
          <w:highlight w:val="yellow"/>
        </w:rPr>
      </w:pPr>
      <w:r w:rsidRPr="003D57BB">
        <w:rPr>
          <w:rFonts w:cs="Helvetica"/>
          <w:color w:val="333333"/>
          <w:szCs w:val="24"/>
          <w:highlight w:val="yellow"/>
        </w:rPr>
        <w:t xml:space="preserve">Файл будет доступен до </w:t>
      </w:r>
      <w:r w:rsidRPr="003D57BB">
        <w:rPr>
          <w:rStyle w:val="a8"/>
          <w:rFonts w:cs="Helvetica"/>
          <w:color w:val="333333"/>
          <w:szCs w:val="24"/>
          <w:highlight w:val="yellow"/>
        </w:rPr>
        <w:t>10.01.2018</w:t>
      </w:r>
      <w:r w:rsidRPr="003D57BB">
        <w:rPr>
          <w:rFonts w:cs="Helvetica"/>
          <w:color w:val="333333"/>
          <w:szCs w:val="24"/>
          <w:highlight w:val="yellow"/>
        </w:rPr>
        <w:t xml:space="preserve"> по ссылке </w:t>
      </w:r>
    </w:p>
    <w:p w:rsidR="003D57BB" w:rsidRDefault="003D57BB" w:rsidP="003D57BB">
      <w:pPr>
        <w:ind w:firstLine="709"/>
        <w:jc w:val="both"/>
        <w:rPr>
          <w:rFonts w:ascii="Helvetica" w:hAnsi="Helvetica" w:cs="Helvetica"/>
          <w:color w:val="333333"/>
          <w:sz w:val="21"/>
          <w:szCs w:val="21"/>
        </w:rPr>
      </w:pPr>
      <w:hyperlink r:id="rId5" w:history="1">
        <w:r w:rsidRPr="003D57BB">
          <w:rPr>
            <w:rStyle w:val="a6"/>
            <w:rFonts w:ascii="Helvetica" w:hAnsi="Helvetica" w:cs="Helvetica"/>
            <w:sz w:val="21"/>
            <w:szCs w:val="21"/>
            <w:highlight w:val="yellow"/>
          </w:rPr>
          <w:t>http://yanos.slavneft.ru/files/PDO_570_RA_636485838353620786.zip</w:t>
        </w:r>
      </w:hyperlink>
      <w:bookmarkStart w:id="0" w:name="_GoBack"/>
      <w:bookmarkEnd w:id="0"/>
      <w:r>
        <w:rPr>
          <w:rFonts w:ascii="Helvetica" w:hAnsi="Helvetica" w:cs="Helvetica"/>
          <w:color w:val="333333"/>
          <w:sz w:val="21"/>
          <w:szCs w:val="21"/>
        </w:rPr>
        <w:t xml:space="preserve"> </w:t>
      </w:r>
    </w:p>
    <w:p w:rsidR="002721F7" w:rsidRDefault="002721F7" w:rsidP="003D57BB">
      <w:pPr>
        <w:ind w:firstLine="708"/>
        <w:jc w:val="both"/>
        <w:rPr>
          <w:b/>
          <w:i/>
          <w:szCs w:val="24"/>
        </w:rPr>
      </w:pPr>
    </w:p>
    <w:p w:rsidR="00104244" w:rsidRPr="007F39EF" w:rsidRDefault="00104244" w:rsidP="00104244">
      <w:pPr>
        <w:ind w:firstLine="708"/>
        <w:jc w:val="both"/>
        <w:rPr>
          <w:szCs w:val="24"/>
        </w:rPr>
      </w:pPr>
      <w:r w:rsidRPr="007F39EF">
        <w:rPr>
          <w:szCs w:val="24"/>
        </w:rPr>
        <w:t>Общество имеет право продлить срок приема оферт.</w:t>
      </w:r>
    </w:p>
    <w:p w:rsidR="00104244" w:rsidRPr="007F39EF" w:rsidRDefault="00104244" w:rsidP="00104244">
      <w:pPr>
        <w:ind w:firstLine="708"/>
        <w:jc w:val="both"/>
        <w:rPr>
          <w:szCs w:val="24"/>
        </w:rPr>
      </w:pPr>
      <w:r w:rsidRPr="007F39EF">
        <w:rPr>
          <w:szCs w:val="24"/>
        </w:rP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104244" w:rsidRPr="007F39EF" w:rsidRDefault="00104244" w:rsidP="00104244">
      <w:pPr>
        <w:ind w:firstLine="708"/>
        <w:jc w:val="both"/>
        <w:rPr>
          <w:szCs w:val="24"/>
        </w:rPr>
      </w:pPr>
      <w:r w:rsidRPr="007F39EF">
        <w:rPr>
          <w:szCs w:val="24"/>
        </w:rPr>
        <w:lastRenderedPageBreak/>
        <w:t>Общество ответит на Ваши письменные запросы, касающиеся разъяснений настоящего предложения, полученные не п</w:t>
      </w:r>
      <w:r>
        <w:rPr>
          <w:szCs w:val="24"/>
        </w:rPr>
        <w:t>озднее «20» декабря</w:t>
      </w:r>
      <w:r w:rsidRPr="007F39EF">
        <w:rPr>
          <w:szCs w:val="24"/>
        </w:rPr>
        <w:t xml:space="preserve"> </w:t>
      </w:r>
      <w:r>
        <w:rPr>
          <w:szCs w:val="24"/>
        </w:rPr>
        <w:t>2017</w:t>
      </w:r>
      <w:r w:rsidRPr="007F39EF">
        <w:rPr>
          <w:szCs w:val="24"/>
        </w:rPr>
        <w:t xml:space="preserve"> года. Ответ с разъяснениями вместе с указанием сути поступившего запроса одновременно будет доведен до сведения всех получателей настоящего </w:t>
      </w:r>
      <w:proofErr w:type="gramStart"/>
      <w:r w:rsidRPr="007F39EF">
        <w:rPr>
          <w:szCs w:val="24"/>
        </w:rPr>
        <w:t>предложения  без</w:t>
      </w:r>
      <w:proofErr w:type="gramEnd"/>
      <w:r w:rsidRPr="007F39EF">
        <w:rPr>
          <w:szCs w:val="24"/>
        </w:rPr>
        <w:t xml:space="preserve"> указания источника поступления.</w:t>
      </w:r>
    </w:p>
    <w:p w:rsidR="00104244" w:rsidRPr="00FE5202" w:rsidRDefault="00104244" w:rsidP="00104244">
      <w:pPr>
        <w:suppressAutoHyphens w:val="0"/>
        <w:spacing w:after="200" w:line="360" w:lineRule="auto"/>
        <w:ind w:firstLine="708"/>
        <w:jc w:val="both"/>
      </w:pPr>
      <w:r w:rsidRPr="00FE5202">
        <w:t>По вопросам технического характера обращаться:</w:t>
      </w:r>
    </w:p>
    <w:tbl>
      <w:tblPr>
        <w:tblW w:w="12995" w:type="dxa"/>
        <w:tblLook w:val="04A0" w:firstRow="1" w:lastRow="0" w:firstColumn="1" w:lastColumn="0" w:noHBand="0" w:noVBand="1"/>
      </w:tblPr>
      <w:tblGrid>
        <w:gridCol w:w="5778"/>
        <w:gridCol w:w="2015"/>
        <w:gridCol w:w="1448"/>
        <w:gridCol w:w="1363"/>
        <w:gridCol w:w="2391"/>
      </w:tblGrid>
      <w:tr w:rsidR="00104244" w:rsidRPr="000436A5" w:rsidTr="00465BA0">
        <w:trPr>
          <w:trHeight w:val="995"/>
        </w:trPr>
        <w:tc>
          <w:tcPr>
            <w:tcW w:w="5778" w:type="dxa"/>
            <w:shd w:val="clear" w:color="auto" w:fill="auto"/>
          </w:tcPr>
          <w:p w:rsidR="00104244" w:rsidRPr="00DB56E5" w:rsidRDefault="00104244" w:rsidP="00465BA0">
            <w:pPr>
              <w:jc w:val="both"/>
              <w:rPr>
                <w:sz w:val="20"/>
              </w:rPr>
            </w:pPr>
            <w:r>
              <w:rPr>
                <w:sz w:val="20"/>
              </w:rPr>
              <w:t>Начальник сектора ОМ:</w:t>
            </w:r>
            <w:r>
              <w:rPr>
                <w:sz w:val="20"/>
              </w:rPr>
              <w:tab/>
              <w:t xml:space="preserve">            Богова</w:t>
            </w:r>
            <w:r w:rsidRPr="00A7634F">
              <w:rPr>
                <w:sz w:val="20"/>
              </w:rPr>
              <w:t xml:space="preserve"> </w:t>
            </w:r>
            <w:r>
              <w:rPr>
                <w:sz w:val="20"/>
              </w:rPr>
              <w:t>Елена Владимировна</w:t>
            </w:r>
          </w:p>
          <w:p w:rsidR="00104244" w:rsidRPr="00D11012" w:rsidRDefault="00104244" w:rsidP="00465BA0">
            <w:pPr>
              <w:jc w:val="both"/>
              <w:rPr>
                <w:sz w:val="20"/>
              </w:rPr>
            </w:pPr>
            <w:r>
              <w:rPr>
                <w:sz w:val="20"/>
              </w:rPr>
              <w:t>Телефон:</w:t>
            </w:r>
            <w:r>
              <w:rPr>
                <w:sz w:val="20"/>
              </w:rPr>
              <w:tab/>
              <w:t xml:space="preserve">                       </w:t>
            </w:r>
            <w:proofErr w:type="gramStart"/>
            <w:r>
              <w:rPr>
                <w:sz w:val="20"/>
              </w:rPr>
              <w:t xml:space="preserve">   </w:t>
            </w:r>
            <w:r w:rsidRPr="00D11012">
              <w:rPr>
                <w:sz w:val="20"/>
              </w:rPr>
              <w:t>(</w:t>
            </w:r>
            <w:proofErr w:type="gramEnd"/>
            <w:r w:rsidRPr="00D11012">
              <w:rPr>
                <w:sz w:val="20"/>
              </w:rPr>
              <w:t>4852) 49-</w:t>
            </w:r>
            <w:r>
              <w:rPr>
                <w:sz w:val="20"/>
              </w:rPr>
              <w:t>89-72</w:t>
            </w:r>
            <w:r w:rsidRPr="00D11012">
              <w:rPr>
                <w:sz w:val="20"/>
              </w:rPr>
              <w:t xml:space="preserve"> </w:t>
            </w:r>
          </w:p>
          <w:p w:rsidR="00104244" w:rsidRPr="00A7634F" w:rsidRDefault="00104244" w:rsidP="00465BA0">
            <w:pPr>
              <w:jc w:val="both"/>
              <w:rPr>
                <w:sz w:val="20"/>
              </w:rPr>
            </w:pPr>
            <w:r w:rsidRPr="00D11012">
              <w:rPr>
                <w:sz w:val="20"/>
              </w:rPr>
              <w:t>Факс</w:t>
            </w:r>
            <w:r w:rsidRPr="00A7634F">
              <w:rPr>
                <w:sz w:val="20"/>
              </w:rPr>
              <w:t>:</w:t>
            </w:r>
            <w:r w:rsidRPr="00A7634F">
              <w:rPr>
                <w:sz w:val="20"/>
              </w:rPr>
              <w:tab/>
            </w:r>
            <w:r w:rsidRPr="00A7634F">
              <w:rPr>
                <w:sz w:val="20"/>
              </w:rPr>
              <w:tab/>
              <w:t xml:space="preserve">              </w:t>
            </w:r>
            <w:r>
              <w:rPr>
                <w:sz w:val="20"/>
              </w:rPr>
              <w:t xml:space="preserve">         </w:t>
            </w:r>
            <w:proofErr w:type="gramStart"/>
            <w:r>
              <w:rPr>
                <w:sz w:val="20"/>
              </w:rPr>
              <w:t xml:space="preserve">   </w:t>
            </w:r>
            <w:r w:rsidRPr="00A7634F">
              <w:rPr>
                <w:sz w:val="20"/>
              </w:rPr>
              <w:t>(</w:t>
            </w:r>
            <w:proofErr w:type="gramEnd"/>
            <w:r w:rsidRPr="00A7634F">
              <w:rPr>
                <w:sz w:val="20"/>
              </w:rPr>
              <w:t xml:space="preserve">4852) 44-03-43 </w:t>
            </w:r>
          </w:p>
          <w:p w:rsidR="00104244" w:rsidRPr="00A7634F" w:rsidRDefault="00104244" w:rsidP="00465BA0">
            <w:pPr>
              <w:jc w:val="both"/>
              <w:rPr>
                <w:sz w:val="20"/>
                <w:u w:val="single"/>
                <w:lang w:eastAsia="ru-RU"/>
              </w:rPr>
            </w:pPr>
            <w:r w:rsidRPr="00D11012">
              <w:rPr>
                <w:sz w:val="20"/>
                <w:lang w:val="en-US"/>
              </w:rPr>
              <w:t>E</w:t>
            </w:r>
            <w:r w:rsidRPr="00A7634F">
              <w:rPr>
                <w:sz w:val="20"/>
              </w:rPr>
              <w:t>-</w:t>
            </w:r>
            <w:r w:rsidRPr="00D11012">
              <w:rPr>
                <w:sz w:val="20"/>
                <w:lang w:val="en-US"/>
              </w:rPr>
              <w:t>mail</w:t>
            </w:r>
            <w:r w:rsidRPr="00A7634F">
              <w:rPr>
                <w:sz w:val="20"/>
              </w:rPr>
              <w:t>:</w:t>
            </w:r>
            <w:r w:rsidRPr="00A7634F">
              <w:rPr>
                <w:sz w:val="20"/>
              </w:rPr>
              <w:tab/>
            </w:r>
            <w:r w:rsidRPr="00A7634F">
              <w:rPr>
                <w:sz w:val="20"/>
              </w:rPr>
              <w:tab/>
              <w:t xml:space="preserve">             </w:t>
            </w:r>
            <w:r>
              <w:rPr>
                <w:sz w:val="20"/>
              </w:rPr>
              <w:t xml:space="preserve">             </w:t>
            </w:r>
            <w:hyperlink r:id="rId6" w:history="1">
              <w:r w:rsidRPr="00EE3CC8">
                <w:rPr>
                  <w:rStyle w:val="a6"/>
                  <w:rFonts w:ascii="Arial" w:hAnsi="Arial" w:cs="Arial"/>
                  <w:sz w:val="19"/>
                  <w:szCs w:val="19"/>
                  <w:lang w:val="en-US"/>
                </w:rPr>
                <w:t>BogovaEV</w:t>
              </w:r>
              <w:r w:rsidRPr="00A7634F">
                <w:rPr>
                  <w:rStyle w:val="a6"/>
                  <w:rFonts w:ascii="Arial" w:hAnsi="Arial" w:cs="Arial"/>
                  <w:sz w:val="19"/>
                  <w:szCs w:val="19"/>
                </w:rPr>
                <w:t>@</w:t>
              </w:r>
              <w:r w:rsidRPr="00EE3CC8">
                <w:rPr>
                  <w:rStyle w:val="a6"/>
                  <w:rFonts w:ascii="Arial" w:hAnsi="Arial" w:cs="Arial"/>
                  <w:sz w:val="19"/>
                  <w:szCs w:val="19"/>
                  <w:lang w:val="en-US"/>
                </w:rPr>
                <w:t>yanos</w:t>
              </w:r>
              <w:r w:rsidRPr="00A7634F">
                <w:rPr>
                  <w:rStyle w:val="a6"/>
                  <w:rFonts w:ascii="Arial" w:hAnsi="Arial" w:cs="Arial"/>
                  <w:sz w:val="19"/>
                  <w:szCs w:val="19"/>
                </w:rPr>
                <w:t>.</w:t>
              </w:r>
              <w:r w:rsidRPr="00EE3CC8">
                <w:rPr>
                  <w:rStyle w:val="a6"/>
                  <w:rFonts w:ascii="Arial" w:hAnsi="Arial" w:cs="Arial"/>
                  <w:sz w:val="19"/>
                  <w:szCs w:val="19"/>
                  <w:lang w:val="en-US"/>
                </w:rPr>
                <w:t>slavneft</w:t>
              </w:r>
              <w:r w:rsidRPr="00A7634F">
                <w:rPr>
                  <w:rStyle w:val="a6"/>
                  <w:rFonts w:ascii="Arial" w:hAnsi="Arial" w:cs="Arial"/>
                  <w:sz w:val="19"/>
                  <w:szCs w:val="19"/>
                </w:rPr>
                <w:t>.</w:t>
              </w:r>
              <w:proofErr w:type="spellStart"/>
              <w:r w:rsidRPr="00EE3CC8">
                <w:rPr>
                  <w:rStyle w:val="a6"/>
                  <w:rFonts w:ascii="Arial" w:hAnsi="Arial" w:cs="Arial"/>
                  <w:sz w:val="19"/>
                  <w:szCs w:val="19"/>
                  <w:lang w:val="en-US"/>
                </w:rPr>
                <w:t>ru</w:t>
              </w:r>
              <w:proofErr w:type="spellEnd"/>
            </w:hyperlink>
          </w:p>
        </w:tc>
        <w:tc>
          <w:tcPr>
            <w:tcW w:w="2015" w:type="dxa"/>
            <w:shd w:val="clear" w:color="auto" w:fill="auto"/>
          </w:tcPr>
          <w:p w:rsidR="00104244" w:rsidRPr="000436A5" w:rsidRDefault="00104244" w:rsidP="00465BA0">
            <w:pPr>
              <w:suppressAutoHyphens w:val="0"/>
              <w:spacing w:after="200" w:line="360" w:lineRule="auto"/>
              <w:jc w:val="center"/>
              <w:rPr>
                <w:sz w:val="20"/>
                <w:u w:val="single"/>
                <w:lang w:eastAsia="ru-RU"/>
              </w:rPr>
            </w:pPr>
          </w:p>
        </w:tc>
        <w:tc>
          <w:tcPr>
            <w:tcW w:w="1448" w:type="dxa"/>
            <w:shd w:val="clear" w:color="auto" w:fill="auto"/>
          </w:tcPr>
          <w:p w:rsidR="00104244" w:rsidRPr="000436A5" w:rsidRDefault="00104244" w:rsidP="00465BA0">
            <w:pPr>
              <w:suppressAutoHyphens w:val="0"/>
              <w:spacing w:after="200" w:line="360" w:lineRule="auto"/>
              <w:jc w:val="center"/>
              <w:rPr>
                <w:sz w:val="20"/>
                <w:u w:val="single"/>
                <w:lang w:eastAsia="ru-RU"/>
              </w:rPr>
            </w:pPr>
          </w:p>
        </w:tc>
        <w:tc>
          <w:tcPr>
            <w:tcW w:w="1363" w:type="dxa"/>
            <w:shd w:val="clear" w:color="auto" w:fill="auto"/>
          </w:tcPr>
          <w:p w:rsidR="00104244" w:rsidRPr="000436A5" w:rsidRDefault="00104244" w:rsidP="00465BA0">
            <w:pPr>
              <w:suppressAutoHyphens w:val="0"/>
              <w:spacing w:after="200" w:line="360" w:lineRule="auto"/>
              <w:jc w:val="center"/>
              <w:rPr>
                <w:sz w:val="20"/>
                <w:u w:val="single"/>
                <w:lang w:eastAsia="ru-RU"/>
              </w:rPr>
            </w:pPr>
          </w:p>
        </w:tc>
        <w:tc>
          <w:tcPr>
            <w:tcW w:w="2391" w:type="dxa"/>
            <w:shd w:val="clear" w:color="auto" w:fill="auto"/>
          </w:tcPr>
          <w:p w:rsidR="00104244" w:rsidRPr="000436A5" w:rsidRDefault="00104244" w:rsidP="00465BA0">
            <w:pPr>
              <w:suppressAutoHyphens w:val="0"/>
              <w:spacing w:after="200" w:line="360" w:lineRule="auto"/>
              <w:jc w:val="center"/>
              <w:rPr>
                <w:sz w:val="20"/>
                <w:u w:val="single"/>
                <w:lang w:eastAsia="ru-RU"/>
              </w:rPr>
            </w:pPr>
          </w:p>
        </w:tc>
      </w:tr>
    </w:tbl>
    <w:p w:rsidR="00104244" w:rsidRDefault="00104244" w:rsidP="00104244">
      <w:pPr>
        <w:suppressAutoHyphens w:val="0"/>
        <w:spacing w:after="200" w:line="360" w:lineRule="auto"/>
        <w:ind w:firstLine="709"/>
        <w:jc w:val="both"/>
        <w:rPr>
          <w:szCs w:val="24"/>
          <w:lang w:eastAsia="ru-RU"/>
        </w:rPr>
      </w:pPr>
      <w:r w:rsidRPr="00FE5202">
        <w:rPr>
          <w:szCs w:val="24"/>
          <w:lang w:eastAsia="ru-RU"/>
        </w:rPr>
        <w:t>По вопросам организационного характера обращаться:</w:t>
      </w:r>
    </w:p>
    <w:p w:rsidR="00104244" w:rsidRPr="007B6304" w:rsidRDefault="00104244" w:rsidP="00104244">
      <w:pPr>
        <w:ind w:firstLine="567"/>
        <w:jc w:val="both"/>
      </w:pPr>
      <w:r w:rsidRPr="007B6304">
        <w:t>Степанова Ольга Алексеевна, телефон (4852)-49-87-36, факс (4852)-49-89-38,</w:t>
      </w:r>
    </w:p>
    <w:p w:rsidR="00104244" w:rsidRPr="005B06C5" w:rsidRDefault="00104244" w:rsidP="00104244">
      <w:pPr>
        <w:suppressAutoHyphens w:val="0"/>
        <w:spacing w:after="200" w:line="360" w:lineRule="auto"/>
        <w:ind w:firstLine="567"/>
        <w:jc w:val="both"/>
        <w:rPr>
          <w:szCs w:val="24"/>
          <w:lang w:val="en-US" w:eastAsia="ru-RU"/>
        </w:rPr>
      </w:pPr>
      <w:proofErr w:type="gramStart"/>
      <w:r w:rsidRPr="007B6304">
        <w:rPr>
          <w:lang w:val="en-US"/>
        </w:rPr>
        <w:t>e-mail</w:t>
      </w:r>
      <w:proofErr w:type="gramEnd"/>
      <w:r w:rsidRPr="00453771">
        <w:rPr>
          <w:lang w:val="en-US"/>
        </w:rPr>
        <w:t>:</w:t>
      </w:r>
      <w:r w:rsidRPr="007B6304">
        <w:rPr>
          <w:lang w:val="en-US"/>
        </w:rPr>
        <w:t xml:space="preserve"> </w:t>
      </w:r>
      <w:hyperlink r:id="rId7" w:history="1">
        <w:r w:rsidRPr="007B6304">
          <w:rPr>
            <w:lang w:val="en-US"/>
          </w:rPr>
          <w:t>tender@yanos.slavneft.ru</w:t>
        </w:r>
      </w:hyperlink>
    </w:p>
    <w:p w:rsidR="00104244" w:rsidRPr="00104244" w:rsidRDefault="00104244" w:rsidP="00104244">
      <w:pPr>
        <w:ind w:firstLine="708"/>
        <w:jc w:val="both"/>
        <w:rPr>
          <w:szCs w:val="24"/>
          <w:lang w:val="en-US"/>
        </w:rPr>
      </w:pPr>
    </w:p>
    <w:p w:rsidR="00104244" w:rsidRPr="00250CC3" w:rsidRDefault="00104244" w:rsidP="00104244">
      <w:pPr>
        <w:ind w:firstLine="708"/>
        <w:jc w:val="both"/>
        <w:rPr>
          <w:szCs w:val="24"/>
        </w:rPr>
      </w:pPr>
      <w:r w:rsidRPr="007F39EF">
        <w:rPr>
          <w:szCs w:val="24"/>
        </w:rP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r w:rsidRPr="00644897">
        <w:rPr>
          <w:szCs w:val="24"/>
        </w:rPr>
        <w:t>интернет-сайте Общества http://refinery.</w:t>
      </w:r>
      <w:r w:rsidRPr="00250CC3">
        <w:rPr>
          <w:szCs w:val="24"/>
        </w:rPr>
        <w:t>yaroslavl.ru/.</w:t>
      </w:r>
    </w:p>
    <w:p w:rsidR="00104244" w:rsidRPr="00250CC3" w:rsidRDefault="00104244" w:rsidP="00104244">
      <w:pPr>
        <w:ind w:firstLine="720"/>
        <w:jc w:val="both"/>
        <w:rPr>
          <w:szCs w:val="24"/>
        </w:rPr>
      </w:pPr>
      <w:r w:rsidRPr="00250CC3">
        <w:rPr>
          <w:szCs w:val="24"/>
        </w:rPr>
        <w:t>Внимание: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04244" w:rsidRPr="007F39EF" w:rsidRDefault="00104244" w:rsidP="00104244">
      <w:pPr>
        <w:ind w:firstLine="708"/>
        <w:jc w:val="both"/>
        <w:rPr>
          <w:szCs w:val="24"/>
        </w:rPr>
      </w:pPr>
      <w:r w:rsidRPr="007F39EF">
        <w:rPr>
          <w:szCs w:val="24"/>
        </w:rP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w:t>
      </w:r>
      <w:proofErr w:type="gramStart"/>
      <w:r w:rsidRPr="007F39EF">
        <w:rPr>
          <w:szCs w:val="24"/>
        </w:rPr>
        <w:t>сайте  не</w:t>
      </w:r>
      <w:proofErr w:type="gramEnd"/>
      <w:r w:rsidRPr="007F39EF">
        <w:rPr>
          <w:szCs w:val="24"/>
        </w:rPr>
        <w:t xml:space="preserve"> позднее следующего рабочего дня после утверждения такого решения Тендерной комиссией. </w:t>
      </w:r>
    </w:p>
    <w:p w:rsidR="00104244" w:rsidRPr="007F39EF" w:rsidRDefault="00104244" w:rsidP="00104244">
      <w:pPr>
        <w:ind w:firstLine="708"/>
        <w:jc w:val="both"/>
        <w:rPr>
          <w:szCs w:val="24"/>
        </w:rPr>
      </w:pPr>
      <w:r w:rsidRPr="007F39EF">
        <w:rPr>
          <w:szCs w:val="24"/>
        </w:rP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04244" w:rsidRPr="007F39EF" w:rsidRDefault="00104244" w:rsidP="00104244">
      <w:pPr>
        <w:pStyle w:val="a7"/>
        <w:numPr>
          <w:ilvl w:val="0"/>
          <w:numId w:val="2"/>
        </w:numPr>
        <w:suppressAutoHyphens w:val="0"/>
        <w:ind w:left="1134" w:hanging="425"/>
        <w:contextualSpacing w:val="0"/>
        <w:jc w:val="both"/>
        <w:rPr>
          <w:szCs w:val="24"/>
        </w:rPr>
      </w:pPr>
      <w:r w:rsidRPr="007F39EF">
        <w:rPr>
          <w:szCs w:val="24"/>
        </w:rPr>
        <w:t>не подана ни одна оферта (с учетом оферт, отозванных участниками закупки);</w:t>
      </w:r>
    </w:p>
    <w:p w:rsidR="00104244" w:rsidRPr="007F39EF" w:rsidRDefault="00104244" w:rsidP="00104244">
      <w:pPr>
        <w:pStyle w:val="a7"/>
        <w:numPr>
          <w:ilvl w:val="0"/>
          <w:numId w:val="2"/>
        </w:numPr>
        <w:suppressAutoHyphens w:val="0"/>
        <w:ind w:left="1134" w:hanging="425"/>
        <w:contextualSpacing w:val="0"/>
        <w:jc w:val="both"/>
        <w:rPr>
          <w:szCs w:val="24"/>
        </w:rPr>
      </w:pPr>
      <w:r w:rsidRPr="007F39EF">
        <w:rPr>
          <w:szCs w:val="24"/>
        </w:rPr>
        <w:t>ни одна оферта не соответствует требованиям к предмету оферты, установленным в настоящем предложении делать оферты;</w:t>
      </w:r>
    </w:p>
    <w:p w:rsidR="00104244" w:rsidRPr="007F39EF" w:rsidRDefault="00104244" w:rsidP="00104244">
      <w:pPr>
        <w:pStyle w:val="a7"/>
        <w:numPr>
          <w:ilvl w:val="0"/>
          <w:numId w:val="2"/>
        </w:numPr>
        <w:suppressAutoHyphens w:val="0"/>
        <w:ind w:left="1134" w:hanging="425"/>
        <w:contextualSpacing w:val="0"/>
        <w:jc w:val="both"/>
        <w:rPr>
          <w:szCs w:val="24"/>
        </w:rPr>
      </w:pPr>
      <w:r w:rsidRPr="007F39EF">
        <w:rPr>
          <w:szCs w:val="24"/>
        </w:rPr>
        <w:t>все поданные оферты отклонены.</w:t>
      </w:r>
    </w:p>
    <w:p w:rsidR="00104244" w:rsidRPr="007F39EF" w:rsidRDefault="00104244" w:rsidP="00104244">
      <w:pPr>
        <w:ind w:firstLine="708"/>
        <w:jc w:val="both"/>
        <w:rPr>
          <w:szCs w:val="24"/>
        </w:rPr>
      </w:pPr>
      <w:r w:rsidRPr="007F39EF">
        <w:rPr>
          <w:szCs w:val="24"/>
        </w:rPr>
        <w:t xml:space="preserve">Внимание: участник закупки может быть признан победителем, только если он имеет статус </w:t>
      </w:r>
      <w:r w:rsidRPr="00EC15CE">
        <w:rPr>
          <w:b/>
          <w:szCs w:val="24"/>
        </w:rPr>
        <w:t>«аккредитован»</w:t>
      </w:r>
      <w:r w:rsidRPr="007F39EF">
        <w:rPr>
          <w:szCs w:val="24"/>
        </w:rPr>
        <w:t xml:space="preserve"> на дату принятия решения о признании победителем.</w:t>
      </w:r>
    </w:p>
    <w:p w:rsidR="00104244" w:rsidRPr="007F39EF" w:rsidRDefault="00104244" w:rsidP="00104244">
      <w:pPr>
        <w:ind w:firstLine="708"/>
        <w:jc w:val="both"/>
        <w:rPr>
          <w:szCs w:val="24"/>
        </w:rPr>
      </w:pPr>
      <w:r w:rsidRPr="007F39EF">
        <w:rPr>
          <w:szCs w:val="24"/>
        </w:rPr>
        <w:t xml:space="preserve">Участники закупки, не прошедшие аккредитацию в установленном порядке или </w:t>
      </w:r>
      <w:proofErr w:type="gramStart"/>
      <w:r w:rsidRPr="007F39EF">
        <w:rPr>
          <w:szCs w:val="24"/>
        </w:rPr>
        <w:t>действие аккредитации</w:t>
      </w:r>
      <w:proofErr w:type="gramEnd"/>
      <w:r w:rsidRPr="007F39EF">
        <w:rPr>
          <w:szCs w:val="24"/>
        </w:rPr>
        <w:t xml:space="preserve"> которых истекает в течение одного месяца с даты получения настоящего предложения, должны пройти аккредитацию в соответствии с правилами</w:t>
      </w:r>
      <w:r>
        <w:rPr>
          <w:szCs w:val="24"/>
        </w:rPr>
        <w:t xml:space="preserve">, размещенными на </w:t>
      </w:r>
      <w:r w:rsidRPr="00EC15CE">
        <w:rPr>
          <w:szCs w:val="24"/>
        </w:rPr>
        <w:t>интернет-сайте Общества http://refinery.yaroslavl.ru/</w:t>
      </w:r>
      <w:r w:rsidRPr="007F39EF">
        <w:rPr>
          <w:szCs w:val="24"/>
        </w:rPr>
        <w:t>.</w:t>
      </w:r>
    </w:p>
    <w:p w:rsidR="00104244" w:rsidRPr="007F39EF" w:rsidRDefault="00104244" w:rsidP="00104244">
      <w:pPr>
        <w:ind w:firstLine="708"/>
        <w:jc w:val="both"/>
        <w:rPr>
          <w:szCs w:val="24"/>
        </w:rPr>
      </w:pPr>
      <w:r w:rsidRPr="007F39EF">
        <w:rPr>
          <w:szCs w:val="24"/>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104244" w:rsidRPr="007F39EF" w:rsidRDefault="00104244" w:rsidP="00104244">
      <w:pPr>
        <w:ind w:firstLine="708"/>
        <w:jc w:val="both"/>
        <w:rPr>
          <w:szCs w:val="24"/>
        </w:rPr>
      </w:pPr>
      <w:r w:rsidRPr="007F39EF">
        <w:rPr>
          <w:szCs w:val="24"/>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w:t>
      </w:r>
      <w:r w:rsidRPr="007F39EF">
        <w:rPr>
          <w:szCs w:val="24"/>
        </w:rPr>
        <w:lastRenderedPageBreak/>
        <w:t xml:space="preserve">пометкой «На аккредитацию» пакет документов на аккредитацию в соответствии с правилами, размещенными на </w:t>
      </w:r>
      <w:r w:rsidRPr="00EC15CE">
        <w:rPr>
          <w:szCs w:val="24"/>
        </w:rPr>
        <w:t>интернет-сайте Общества http://refinery.yaroslavl.ru/</w:t>
      </w:r>
      <w:r w:rsidRPr="007F39EF">
        <w:rPr>
          <w:szCs w:val="24"/>
        </w:rPr>
        <w:t>.</w:t>
      </w:r>
    </w:p>
    <w:p w:rsidR="00104244" w:rsidRDefault="00104244" w:rsidP="00104244">
      <w:pPr>
        <w:ind w:firstLine="708"/>
        <w:jc w:val="both"/>
        <w:rPr>
          <w:szCs w:val="24"/>
        </w:rPr>
      </w:pPr>
      <w:r w:rsidRPr="007F39EF">
        <w:rPr>
          <w:szCs w:val="24"/>
        </w:rPr>
        <w:t xml:space="preserve">Если участник закупки не выполнил условия настоящего предложения делать </w:t>
      </w:r>
      <w:proofErr w:type="gramStart"/>
      <w:r w:rsidRPr="007F39EF">
        <w:rPr>
          <w:szCs w:val="24"/>
        </w:rPr>
        <w:t>оферты  в</w:t>
      </w:r>
      <w:proofErr w:type="gramEnd"/>
      <w:r w:rsidRPr="007F39EF">
        <w:rPr>
          <w:szCs w:val="24"/>
        </w:rPr>
        <w:t xml:space="preserve">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04244" w:rsidRPr="001B19A9" w:rsidRDefault="00104244" w:rsidP="00104244">
      <w:pPr>
        <w:ind w:firstLine="709"/>
        <w:jc w:val="both"/>
        <w:rPr>
          <w:iCs/>
          <w:color w:val="000000"/>
        </w:rPr>
      </w:pPr>
      <w:r w:rsidRPr="001B19A9">
        <w:rPr>
          <w:iCs/>
          <w:color w:val="000000"/>
        </w:rPr>
        <w:t xml:space="preserve">В случае если на дату принятия решения о признании победителем контрагент имеет со </w:t>
      </w:r>
      <w:proofErr w:type="gramStart"/>
      <w:r w:rsidRPr="001B19A9">
        <w:rPr>
          <w:iCs/>
          <w:color w:val="000000"/>
        </w:rPr>
        <w:t>стороны  ОАО</w:t>
      </w:r>
      <w:proofErr w:type="gramEnd"/>
      <w:r w:rsidRPr="001B19A9">
        <w:rPr>
          <w:iCs/>
          <w:color w:val="000000"/>
        </w:rPr>
        <w:t xml:space="preserve"> «</w:t>
      </w:r>
      <w:proofErr w:type="spellStart"/>
      <w:r w:rsidRPr="001B19A9">
        <w:rPr>
          <w:iCs/>
          <w:color w:val="000000"/>
        </w:rPr>
        <w:t>Славнефть</w:t>
      </w:r>
      <w:proofErr w:type="spellEnd"/>
      <w:r w:rsidRPr="001B19A9">
        <w:rPr>
          <w:iCs/>
          <w:color w:val="000000"/>
        </w:rPr>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1B19A9">
        <w:rPr>
          <w:iCs/>
          <w:color w:val="000000"/>
        </w:rPr>
        <w:t>Славнефть</w:t>
      </w:r>
      <w:proofErr w:type="spellEnd"/>
      <w:r w:rsidRPr="001B19A9">
        <w:rPr>
          <w:iCs/>
          <w:color w:val="000000"/>
        </w:rPr>
        <w:t>-ЯНОС», Общество оставляет за собой право не признавать данного контрагента победителем тендера»</w:t>
      </w:r>
    </w:p>
    <w:p w:rsidR="00104244" w:rsidRPr="007F39EF" w:rsidRDefault="00104244" w:rsidP="00104244">
      <w:pPr>
        <w:ind w:firstLine="708"/>
        <w:jc w:val="both"/>
        <w:rPr>
          <w:szCs w:val="24"/>
        </w:rPr>
      </w:pPr>
      <w:r w:rsidRPr="007F39EF">
        <w:rPr>
          <w:szCs w:val="24"/>
        </w:rPr>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04244" w:rsidRPr="007F39EF" w:rsidRDefault="00104244" w:rsidP="00104244">
      <w:pPr>
        <w:ind w:firstLine="708"/>
        <w:jc w:val="both"/>
        <w:rPr>
          <w:szCs w:val="24"/>
        </w:rPr>
      </w:pPr>
      <w:r w:rsidRPr="007F39EF">
        <w:rPr>
          <w:szCs w:val="24"/>
        </w:rPr>
        <w:t>Жалоба в письменном виде направляется в Тендерный комитет Общества по адресу</w:t>
      </w:r>
      <w:r>
        <w:rPr>
          <w:szCs w:val="24"/>
        </w:rPr>
        <w:t>:</w:t>
      </w:r>
      <w:r w:rsidRPr="007F39EF">
        <w:rPr>
          <w:szCs w:val="24"/>
        </w:rPr>
        <w:t xml:space="preserve"> </w:t>
      </w:r>
      <w:r w:rsidRPr="00EC15CE">
        <w:rPr>
          <w:szCs w:val="24"/>
        </w:rPr>
        <w:t>1500</w:t>
      </w:r>
      <w:r>
        <w:rPr>
          <w:szCs w:val="24"/>
        </w:rPr>
        <w:t>23</w:t>
      </w:r>
      <w:r w:rsidRPr="00EC15CE">
        <w:rPr>
          <w:szCs w:val="24"/>
        </w:rPr>
        <w:t>, г. Ярославль, Московский пр., д.130, в Тендерный комитет</w:t>
      </w:r>
      <w:r w:rsidRPr="007F39EF">
        <w:rPr>
          <w:szCs w:val="24"/>
        </w:rPr>
        <w:t>. 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04244" w:rsidRPr="007F39EF" w:rsidRDefault="00104244" w:rsidP="00104244">
      <w:pPr>
        <w:ind w:firstLine="708"/>
        <w:jc w:val="both"/>
        <w:rPr>
          <w:szCs w:val="24"/>
        </w:rPr>
      </w:pPr>
      <w:r w:rsidRPr="007F39EF">
        <w:rPr>
          <w:szCs w:val="24"/>
        </w:rPr>
        <w:t xml:space="preserve">Решения, принятые по результатам рассмотрения жалобы, доводятся до участника закупки в течение не более </w:t>
      </w:r>
      <w:r w:rsidRPr="000674BA">
        <w:rPr>
          <w:szCs w:val="24"/>
        </w:rPr>
        <w:t>45 (Сорока пяти)</w:t>
      </w:r>
      <w:r w:rsidRPr="007F39EF">
        <w:rPr>
          <w:szCs w:val="24"/>
        </w:rPr>
        <w:t xml:space="preserve"> календарных дней со дня ее получения. </w:t>
      </w:r>
    </w:p>
    <w:p w:rsidR="00104244" w:rsidRPr="007F39EF" w:rsidRDefault="00104244" w:rsidP="00104244">
      <w:pPr>
        <w:ind w:firstLine="708"/>
        <w:jc w:val="both"/>
        <w:rPr>
          <w:szCs w:val="24"/>
        </w:rPr>
      </w:pPr>
      <w:r w:rsidRPr="007F39EF">
        <w:rPr>
          <w:szCs w:val="24"/>
        </w:rPr>
        <w:t>Сообщаем, что в целях выявления и предупреждения фактов коррупции, мошенничества и иных злоупотреблений ОАО «</w:t>
      </w:r>
      <w:proofErr w:type="spellStart"/>
      <w:r w:rsidRPr="007F39EF">
        <w:rPr>
          <w:szCs w:val="24"/>
        </w:rPr>
        <w:t>Славнефть</w:t>
      </w:r>
      <w:proofErr w:type="spellEnd"/>
      <w:r w:rsidRPr="007F39EF">
        <w:rPr>
          <w:szCs w:val="24"/>
        </w:rP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04244" w:rsidRPr="007F39EF" w:rsidRDefault="00104244" w:rsidP="00104244">
      <w:pPr>
        <w:ind w:firstLine="708"/>
        <w:jc w:val="both"/>
        <w:rPr>
          <w:szCs w:val="24"/>
        </w:rPr>
      </w:pPr>
      <w:r w:rsidRPr="007F39EF">
        <w:rPr>
          <w:szCs w:val="24"/>
        </w:rPr>
        <w:t>Телефон «Горячей линии»: +7 (4852) 49-93-33, электронная почта hotline@yanos.slavneft.ru</w:t>
      </w:r>
    </w:p>
    <w:p w:rsidR="00104244" w:rsidRPr="007F39EF" w:rsidRDefault="00104244" w:rsidP="00104244">
      <w:pPr>
        <w:rPr>
          <w:szCs w:val="24"/>
        </w:rPr>
      </w:pPr>
    </w:p>
    <w:p w:rsidR="00104244" w:rsidRPr="00A8204B" w:rsidRDefault="00104244" w:rsidP="00104244">
      <w:pPr>
        <w:rPr>
          <w:szCs w:val="24"/>
        </w:rPr>
      </w:pPr>
      <w:r w:rsidRPr="00A8204B">
        <w:rPr>
          <w:szCs w:val="24"/>
        </w:rPr>
        <w:t>Перечень документов в составе ПДО:</w:t>
      </w:r>
    </w:p>
    <w:p w:rsidR="00104244" w:rsidRPr="00A8204B" w:rsidRDefault="00104244" w:rsidP="00104244">
      <w:pPr>
        <w:rPr>
          <w:szCs w:val="24"/>
        </w:rPr>
      </w:pPr>
      <w:r w:rsidRPr="00A8204B">
        <w:rPr>
          <w:szCs w:val="24"/>
        </w:rPr>
        <w:t xml:space="preserve">1. </w:t>
      </w:r>
      <w:r>
        <w:rPr>
          <w:szCs w:val="24"/>
        </w:rPr>
        <w:t>Форма 1 «</w:t>
      </w:r>
      <w:r w:rsidRPr="00A8204B">
        <w:rPr>
          <w:szCs w:val="24"/>
        </w:rPr>
        <w:t>Извещение о проведении тендера</w:t>
      </w:r>
      <w:r>
        <w:rPr>
          <w:szCs w:val="24"/>
        </w:rPr>
        <w:t>»</w:t>
      </w:r>
      <w:r w:rsidRPr="00A8204B">
        <w:rPr>
          <w:szCs w:val="24"/>
        </w:rPr>
        <w:t xml:space="preserve"> (настоящий документ) </w:t>
      </w:r>
      <w:r>
        <w:rPr>
          <w:szCs w:val="24"/>
        </w:rPr>
        <w:t>–</w:t>
      </w:r>
      <w:r w:rsidRPr="00A8204B">
        <w:rPr>
          <w:szCs w:val="24"/>
        </w:rPr>
        <w:t xml:space="preserve"> в 1 экз.</w:t>
      </w:r>
      <w:r>
        <w:rPr>
          <w:szCs w:val="24"/>
        </w:rPr>
        <w:t xml:space="preserve"> на ___ листах.</w:t>
      </w:r>
    </w:p>
    <w:p w:rsidR="00104244" w:rsidRPr="00A8204B" w:rsidRDefault="00104244" w:rsidP="00104244">
      <w:pPr>
        <w:rPr>
          <w:szCs w:val="24"/>
        </w:rPr>
      </w:pPr>
      <w:r w:rsidRPr="00A8204B">
        <w:rPr>
          <w:szCs w:val="24"/>
        </w:rPr>
        <w:t xml:space="preserve">2. </w:t>
      </w:r>
      <w:r>
        <w:rPr>
          <w:szCs w:val="24"/>
        </w:rPr>
        <w:t>Форма 2 «</w:t>
      </w:r>
      <w:r w:rsidRPr="00A8204B">
        <w:rPr>
          <w:szCs w:val="24"/>
        </w:rPr>
        <w:t>Требования к предмету оферты</w:t>
      </w:r>
      <w:r>
        <w:rPr>
          <w:szCs w:val="24"/>
        </w:rPr>
        <w:t>»</w:t>
      </w:r>
      <w:r w:rsidRPr="00A8204B">
        <w:rPr>
          <w:szCs w:val="24"/>
        </w:rPr>
        <w:t xml:space="preserve"> </w:t>
      </w:r>
      <w:r>
        <w:rPr>
          <w:szCs w:val="24"/>
        </w:rPr>
        <w:t xml:space="preserve">- </w:t>
      </w:r>
      <w:r w:rsidRPr="00A8204B">
        <w:rPr>
          <w:szCs w:val="24"/>
        </w:rPr>
        <w:t>в 1 экз.</w:t>
      </w:r>
      <w:r>
        <w:rPr>
          <w:szCs w:val="24"/>
        </w:rPr>
        <w:t xml:space="preserve"> на ___ листах</w:t>
      </w:r>
      <w:r w:rsidRPr="00A8204B">
        <w:rPr>
          <w:szCs w:val="24"/>
        </w:rPr>
        <w:t>.</w:t>
      </w:r>
    </w:p>
    <w:p w:rsidR="00104244" w:rsidRPr="00A8204B" w:rsidRDefault="00104244" w:rsidP="00104244">
      <w:pPr>
        <w:rPr>
          <w:szCs w:val="24"/>
        </w:rPr>
      </w:pPr>
      <w:r w:rsidRPr="00A8204B">
        <w:rPr>
          <w:szCs w:val="24"/>
        </w:rPr>
        <w:t xml:space="preserve">3. </w:t>
      </w:r>
      <w:r>
        <w:rPr>
          <w:szCs w:val="24"/>
        </w:rPr>
        <w:t>Форма 3 «</w:t>
      </w:r>
      <w:r w:rsidRPr="00A8204B">
        <w:rPr>
          <w:szCs w:val="24"/>
        </w:rPr>
        <w:t>Проект договора</w:t>
      </w:r>
      <w:r>
        <w:rPr>
          <w:szCs w:val="24"/>
        </w:rPr>
        <w:t>»</w:t>
      </w:r>
      <w:r w:rsidRPr="00A8204B">
        <w:rPr>
          <w:szCs w:val="24"/>
        </w:rPr>
        <w:t xml:space="preserve"> </w:t>
      </w:r>
      <w:r>
        <w:rPr>
          <w:szCs w:val="24"/>
        </w:rPr>
        <w:t xml:space="preserve">- </w:t>
      </w:r>
      <w:r w:rsidRPr="00A8204B">
        <w:rPr>
          <w:szCs w:val="24"/>
        </w:rPr>
        <w:t>в 1 экз.</w:t>
      </w:r>
      <w:r>
        <w:rPr>
          <w:szCs w:val="24"/>
        </w:rPr>
        <w:t xml:space="preserve"> на ____ листах.</w:t>
      </w:r>
    </w:p>
    <w:p w:rsidR="00104244" w:rsidRPr="00A8204B" w:rsidRDefault="00104244" w:rsidP="00104244">
      <w:pPr>
        <w:rPr>
          <w:szCs w:val="24"/>
        </w:rPr>
      </w:pPr>
      <w:r w:rsidRPr="00A8204B">
        <w:rPr>
          <w:szCs w:val="24"/>
        </w:rPr>
        <w:t xml:space="preserve">4. </w:t>
      </w:r>
      <w:r>
        <w:rPr>
          <w:szCs w:val="24"/>
        </w:rPr>
        <w:t>Форма 4 «</w:t>
      </w:r>
      <w:r w:rsidRPr="00A8204B">
        <w:rPr>
          <w:szCs w:val="24"/>
        </w:rPr>
        <w:t>Извещ</w:t>
      </w:r>
      <w:r>
        <w:rPr>
          <w:szCs w:val="24"/>
        </w:rPr>
        <w:t xml:space="preserve">ение о согласии сделать </w:t>
      </w:r>
      <w:proofErr w:type="gramStart"/>
      <w:r>
        <w:rPr>
          <w:szCs w:val="24"/>
        </w:rPr>
        <w:t xml:space="preserve">оферту» </w:t>
      </w:r>
      <w:r w:rsidRPr="00A8204B">
        <w:rPr>
          <w:szCs w:val="24"/>
        </w:rPr>
        <w:t xml:space="preserve"> </w:t>
      </w:r>
      <w:r>
        <w:rPr>
          <w:szCs w:val="24"/>
        </w:rPr>
        <w:t>–</w:t>
      </w:r>
      <w:proofErr w:type="gramEnd"/>
      <w:r w:rsidRPr="00A8204B">
        <w:rPr>
          <w:szCs w:val="24"/>
        </w:rPr>
        <w:t xml:space="preserve"> в 1 экз.</w:t>
      </w:r>
      <w:r>
        <w:rPr>
          <w:szCs w:val="24"/>
        </w:rPr>
        <w:t xml:space="preserve"> на 1-м листе.</w:t>
      </w:r>
    </w:p>
    <w:p w:rsidR="00104244" w:rsidRDefault="00104244" w:rsidP="00104244">
      <w:pPr>
        <w:rPr>
          <w:szCs w:val="24"/>
        </w:rPr>
      </w:pPr>
      <w:r w:rsidRPr="00A8204B">
        <w:rPr>
          <w:szCs w:val="24"/>
        </w:rPr>
        <w:t xml:space="preserve">5. </w:t>
      </w:r>
      <w:r>
        <w:rPr>
          <w:szCs w:val="24"/>
        </w:rPr>
        <w:t>Форма 5 «</w:t>
      </w:r>
      <w:r w:rsidRPr="00A8204B">
        <w:rPr>
          <w:szCs w:val="24"/>
        </w:rPr>
        <w:t xml:space="preserve">Предложение о заключении </w:t>
      </w:r>
      <w:proofErr w:type="gramStart"/>
      <w:r w:rsidRPr="00A8204B">
        <w:rPr>
          <w:szCs w:val="24"/>
        </w:rPr>
        <w:t>договора</w:t>
      </w:r>
      <w:r>
        <w:rPr>
          <w:szCs w:val="24"/>
        </w:rPr>
        <w:t>»</w:t>
      </w:r>
      <w:r w:rsidRPr="00A8204B">
        <w:rPr>
          <w:szCs w:val="24"/>
        </w:rPr>
        <w:t xml:space="preserve">  </w:t>
      </w:r>
      <w:r>
        <w:rPr>
          <w:szCs w:val="24"/>
        </w:rPr>
        <w:t>–</w:t>
      </w:r>
      <w:proofErr w:type="gramEnd"/>
      <w:r w:rsidRPr="00A8204B">
        <w:rPr>
          <w:szCs w:val="24"/>
        </w:rPr>
        <w:t xml:space="preserve"> в 1 экз.</w:t>
      </w:r>
      <w:r>
        <w:rPr>
          <w:szCs w:val="24"/>
        </w:rPr>
        <w:t xml:space="preserve"> на 1-м листе.</w:t>
      </w:r>
    </w:p>
    <w:p w:rsidR="00104244" w:rsidRDefault="00104244" w:rsidP="00104244">
      <w:pPr>
        <w:rPr>
          <w:szCs w:val="24"/>
        </w:rPr>
      </w:pPr>
      <w:r w:rsidRPr="00A8204B">
        <w:rPr>
          <w:szCs w:val="24"/>
        </w:rPr>
        <w:t xml:space="preserve">6. Форма </w:t>
      </w:r>
      <w:r>
        <w:rPr>
          <w:szCs w:val="24"/>
        </w:rPr>
        <w:t xml:space="preserve">6 </w:t>
      </w:r>
      <w:r w:rsidRPr="00A8204B">
        <w:rPr>
          <w:szCs w:val="24"/>
        </w:rPr>
        <w:t>«Техни</w:t>
      </w:r>
      <w:r>
        <w:rPr>
          <w:szCs w:val="24"/>
        </w:rPr>
        <w:t>ческо-коммерческое</w:t>
      </w:r>
      <w:r w:rsidRPr="00A8204B">
        <w:rPr>
          <w:szCs w:val="24"/>
        </w:rPr>
        <w:t xml:space="preserve"> предложение» </w:t>
      </w:r>
      <w:r>
        <w:rPr>
          <w:szCs w:val="24"/>
        </w:rPr>
        <w:t xml:space="preserve">- </w:t>
      </w:r>
      <w:r w:rsidRPr="00A8204B">
        <w:rPr>
          <w:szCs w:val="24"/>
        </w:rPr>
        <w:t>в 1 экз.</w:t>
      </w:r>
      <w:r>
        <w:rPr>
          <w:szCs w:val="24"/>
        </w:rPr>
        <w:t xml:space="preserve"> на ___ листах</w:t>
      </w:r>
      <w:r w:rsidRPr="00A8204B">
        <w:rPr>
          <w:szCs w:val="24"/>
        </w:rPr>
        <w:t>.</w:t>
      </w:r>
    </w:p>
    <w:p w:rsidR="00104244" w:rsidRDefault="00104244" w:rsidP="00104244">
      <w:pPr>
        <w:rPr>
          <w:szCs w:val="24"/>
        </w:rPr>
      </w:pPr>
      <w:r>
        <w:rPr>
          <w:szCs w:val="24"/>
        </w:rPr>
        <w:t xml:space="preserve">7. </w:t>
      </w:r>
      <w:r w:rsidRPr="00A8204B">
        <w:rPr>
          <w:szCs w:val="24"/>
        </w:rPr>
        <w:t xml:space="preserve">Форма </w:t>
      </w:r>
      <w:r>
        <w:rPr>
          <w:szCs w:val="24"/>
        </w:rPr>
        <w:t xml:space="preserve">7 </w:t>
      </w:r>
      <w:r w:rsidRPr="00A8204B">
        <w:rPr>
          <w:szCs w:val="24"/>
        </w:rPr>
        <w:t>«Перечень аффилированных организаций» на 1 л. в 1 экз.</w:t>
      </w:r>
    </w:p>
    <w:p w:rsidR="00104244" w:rsidRPr="001B19A9" w:rsidRDefault="00104244" w:rsidP="00104244">
      <w:pPr>
        <w:jc w:val="both"/>
        <w:rPr>
          <w:color w:val="000000"/>
          <w:szCs w:val="24"/>
        </w:rPr>
      </w:pPr>
      <w:r w:rsidRPr="001B19A9">
        <w:rPr>
          <w:color w:val="000000"/>
          <w:szCs w:val="24"/>
        </w:rPr>
        <w:t xml:space="preserve">8. Спецификация материалов  </w:t>
      </w:r>
    </w:p>
    <w:p w:rsidR="00104244" w:rsidRPr="001B19A9" w:rsidRDefault="00104244" w:rsidP="00104244">
      <w:pPr>
        <w:jc w:val="both"/>
        <w:rPr>
          <w:color w:val="000000"/>
          <w:szCs w:val="24"/>
        </w:rPr>
      </w:pPr>
      <w:r w:rsidRPr="001B19A9">
        <w:rPr>
          <w:color w:val="000000"/>
          <w:szCs w:val="24"/>
        </w:rPr>
        <w:t>0242.00.00-ТМ.С, 0242.</w:t>
      </w:r>
      <w:proofErr w:type="gramStart"/>
      <w:r w:rsidRPr="001B19A9">
        <w:rPr>
          <w:color w:val="000000"/>
          <w:szCs w:val="24"/>
        </w:rPr>
        <w:t>00.УЗ</w:t>
      </w:r>
      <w:proofErr w:type="gramEnd"/>
      <w:r w:rsidRPr="001B19A9">
        <w:rPr>
          <w:color w:val="000000"/>
          <w:szCs w:val="24"/>
        </w:rPr>
        <w:t>-ТМ.С, 6017-43/6-002-000-ТМ.СО,  16017-43/6-003-000-ТМ.С,                     16017-43/6-004-000-ТМ.СО, 18900-III-90(43/6)-ТМ1.СО, 18900-III-90(43/6)-ТМ2.СО,                            18908-30-ТМ.СО, 18918-30-ТМ1.СО, 18918-30-ТМ2.СО, 18918-30-ТМ3.СО, 18919-30-АММ.С, 18919-30-ТМ.СО, 18923-30-ТМ.СО, 18939-30-ТМ.СО, 18942-30-ТМ.СО, 18994-43/5-ТМ.СО,      19002-104-ТМ.СО, 19030-20/5-ТМ1.СО, 2808-00-ТС-13,14-ТМ.С.</w:t>
      </w:r>
    </w:p>
    <w:p w:rsidR="00104244" w:rsidRPr="0086533C" w:rsidRDefault="00104244" w:rsidP="00104244">
      <w:pPr>
        <w:jc w:val="both"/>
      </w:pPr>
      <w:r>
        <w:t>9.   Форме № 8</w:t>
      </w:r>
      <w:r w:rsidRPr="0086533C">
        <w:t xml:space="preserve"> </w:t>
      </w:r>
      <w:r>
        <w:t>в 1 экз. на 1-м листе</w:t>
      </w:r>
      <w:r w:rsidRPr="0086533C">
        <w:t>.</w:t>
      </w:r>
    </w:p>
    <w:p w:rsidR="00104244" w:rsidRPr="0086533C" w:rsidRDefault="00104244" w:rsidP="00104244">
      <w:pPr>
        <w:jc w:val="both"/>
      </w:pPr>
      <w:r w:rsidRPr="0086533C">
        <w:t>1</w:t>
      </w:r>
      <w:r>
        <w:t>0</w:t>
      </w:r>
      <w:r w:rsidRPr="0086533C">
        <w:t xml:space="preserve">. </w:t>
      </w:r>
      <w:r>
        <w:t>Форме № 9</w:t>
      </w:r>
      <w:r w:rsidRPr="0086533C">
        <w:t xml:space="preserve"> </w:t>
      </w:r>
      <w:r>
        <w:t>в 1 экз. на 1-м листе</w:t>
      </w:r>
      <w:r w:rsidRPr="0086533C">
        <w:t>.</w:t>
      </w:r>
    </w:p>
    <w:p w:rsidR="00104244" w:rsidRDefault="00104244" w:rsidP="00104244">
      <w:pPr>
        <w:suppressAutoHyphens w:val="0"/>
        <w:ind w:firstLine="720"/>
        <w:jc w:val="both"/>
        <w:rPr>
          <w:b/>
        </w:rPr>
      </w:pPr>
    </w:p>
    <w:p w:rsidR="00104244" w:rsidRPr="00FE5202" w:rsidRDefault="00104244" w:rsidP="00104244">
      <w:pPr>
        <w:suppressAutoHyphens w:val="0"/>
        <w:spacing w:after="200" w:line="276" w:lineRule="auto"/>
      </w:pPr>
      <w:r w:rsidRPr="00FB68D3">
        <w:lastRenderedPageBreak/>
        <w:t>Директор по снабжению</w:t>
      </w:r>
      <w:r w:rsidRPr="00FB68D3">
        <w:tab/>
      </w:r>
      <w:r w:rsidRPr="00FB68D3">
        <w:tab/>
      </w:r>
      <w:r w:rsidRPr="00FB68D3">
        <w:tab/>
      </w:r>
      <w:r w:rsidRPr="00FB68D3">
        <w:tab/>
      </w:r>
      <w:r w:rsidRPr="00FB68D3">
        <w:tab/>
      </w:r>
      <w:r>
        <w:t xml:space="preserve">                       </w:t>
      </w:r>
      <w:r w:rsidRPr="00FB68D3">
        <w:tab/>
      </w:r>
      <w:r>
        <w:t xml:space="preserve">            </w:t>
      </w:r>
      <w:r w:rsidRPr="00FB68D3">
        <w:tab/>
      </w:r>
      <w:proofErr w:type="spellStart"/>
      <w:r>
        <w:t>Д.Ю.Уржумов</w:t>
      </w:r>
      <w:proofErr w:type="spellEnd"/>
    </w:p>
    <w:p w:rsidR="00104244" w:rsidRDefault="00104244" w:rsidP="00104244">
      <w:pPr>
        <w:suppressAutoHyphens w:val="0"/>
        <w:spacing w:before="100" w:beforeAutospacing="1" w:after="100" w:afterAutospacing="1" w:line="276" w:lineRule="auto"/>
        <w:jc w:val="both"/>
      </w:pPr>
    </w:p>
    <w:p w:rsidR="00104244" w:rsidRDefault="00104244" w:rsidP="00104244">
      <w:pPr>
        <w:suppressAutoHyphens w:val="0"/>
        <w:spacing w:before="100" w:beforeAutospacing="1" w:after="100" w:afterAutospacing="1" w:line="276" w:lineRule="auto"/>
        <w:jc w:val="both"/>
        <w:rPr>
          <w:b/>
          <w:i/>
          <w:sz w:val="16"/>
          <w:szCs w:val="16"/>
          <w:u w:val="single"/>
        </w:rPr>
      </w:pPr>
    </w:p>
    <w:p w:rsidR="00104244" w:rsidRDefault="00104244" w:rsidP="00104244">
      <w:pPr>
        <w:suppressAutoHyphens w:val="0"/>
        <w:spacing w:before="100" w:beforeAutospacing="1" w:after="100" w:afterAutospacing="1" w:line="276" w:lineRule="auto"/>
        <w:jc w:val="both"/>
        <w:rPr>
          <w:b/>
          <w:i/>
          <w:sz w:val="16"/>
          <w:szCs w:val="16"/>
          <w:u w:val="single"/>
        </w:rPr>
      </w:pPr>
    </w:p>
    <w:sectPr w:rsidR="00104244"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1F38"/>
    <w:multiLevelType w:val="multilevel"/>
    <w:tmpl w:val="E202F0F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2A206D"/>
    <w:multiLevelType w:val="hybridMultilevel"/>
    <w:tmpl w:val="6F907750"/>
    <w:lvl w:ilvl="0" w:tplc="A1DCFA86">
      <w:start w:val="1"/>
      <w:numFmt w:val="bullet"/>
      <w:lvlText w:val=""/>
      <w:lvlJc w:val="left"/>
      <w:pPr>
        <w:ind w:left="360" w:hanging="360"/>
      </w:pPr>
      <w:rPr>
        <w:rFonts w:ascii="Symbol" w:hAnsi="Symbol" w:hint="default"/>
      </w:rPr>
    </w:lvl>
    <w:lvl w:ilvl="1" w:tplc="04190003">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2" w15:restartNumberingAfterBreak="0">
    <w:nsid w:val="6A0F06F3"/>
    <w:multiLevelType w:val="hybridMultilevel"/>
    <w:tmpl w:val="94B804A8"/>
    <w:lvl w:ilvl="0" w:tplc="A1DCFA86">
      <w:start w:val="1"/>
      <w:numFmt w:val="bullet"/>
      <w:pStyle w:val="a0"/>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44"/>
    <w:rsid w:val="00104244"/>
    <w:rsid w:val="001C4543"/>
    <w:rsid w:val="002721F7"/>
    <w:rsid w:val="003A69B6"/>
    <w:rsid w:val="003D57BB"/>
    <w:rsid w:val="005D7FE7"/>
    <w:rsid w:val="00C8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D2E7"/>
  <w15:chartTrackingRefBased/>
  <w15:docId w15:val="{DA997EA0-7C41-4B84-8C8E-721B53D2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4244"/>
    <w:pPr>
      <w:suppressAutoHyphens/>
      <w:spacing w:line="240" w:lineRule="auto"/>
      <w:ind w:firstLine="0"/>
    </w:pPr>
    <w:rPr>
      <w:rFonts w:eastAsia="Calibri" w:cs="Times New Roman"/>
    </w:rPr>
  </w:style>
  <w:style w:type="paragraph" w:styleId="3">
    <w:name w:val="heading 3"/>
    <w:basedOn w:val="a1"/>
    <w:link w:val="30"/>
    <w:uiPriority w:val="9"/>
    <w:qFormat/>
    <w:rsid w:val="003D57BB"/>
    <w:pPr>
      <w:suppressAutoHyphens w:val="0"/>
      <w:spacing w:before="300" w:after="150"/>
      <w:outlineLvl w:val="2"/>
    </w:pPr>
    <w:rPr>
      <w:rFonts w:ascii="inherit" w:eastAsia="Times New Roman" w:hAnsi="inherit"/>
      <w:sz w:val="36"/>
      <w:szCs w:val="3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Название документа"/>
    <w:basedOn w:val="a1"/>
    <w:next w:val="a1"/>
    <w:rsid w:val="00104244"/>
    <w:pPr>
      <w:keepNext/>
      <w:keepLines/>
      <w:numPr>
        <w:numId w:val="1"/>
      </w:numPr>
      <w:spacing w:before="400" w:after="120" w:line="240" w:lineRule="atLeast"/>
      <w:ind w:left="-840" w:firstLine="0"/>
    </w:pPr>
    <w:rPr>
      <w:rFonts w:ascii="Arial Black" w:hAnsi="Arial Black"/>
      <w:spacing w:val="-60"/>
      <w:kern w:val="1"/>
      <w:sz w:val="88"/>
    </w:rPr>
  </w:style>
  <w:style w:type="paragraph" w:customStyle="1" w:styleId="a">
    <w:name w:val="Буллит"/>
    <w:basedOn w:val="a1"/>
    <w:link w:val="a5"/>
    <w:qFormat/>
    <w:rsid w:val="00104244"/>
    <w:pPr>
      <w:numPr>
        <w:numId w:val="3"/>
      </w:numPr>
      <w:suppressAutoHyphens w:val="0"/>
      <w:spacing w:before="120"/>
      <w:jc w:val="both"/>
      <w:outlineLvl w:val="1"/>
    </w:pPr>
    <w:rPr>
      <w:rFonts w:ascii="Arial" w:hAnsi="Arial"/>
      <w:sz w:val="22"/>
      <w:lang w:val="x-none" w:eastAsia="x-none"/>
    </w:rPr>
  </w:style>
  <w:style w:type="character" w:customStyle="1" w:styleId="a5">
    <w:name w:val="Буллит Знак"/>
    <w:link w:val="a"/>
    <w:rsid w:val="00104244"/>
    <w:rPr>
      <w:rFonts w:ascii="Arial" w:eastAsia="Calibri" w:hAnsi="Arial" w:cs="Times New Roman"/>
      <w:sz w:val="22"/>
      <w:lang w:val="x-none" w:eastAsia="x-none"/>
    </w:rPr>
  </w:style>
  <w:style w:type="character" w:styleId="a6">
    <w:name w:val="Hyperlink"/>
    <w:uiPriority w:val="99"/>
    <w:unhideWhenUsed/>
    <w:rsid w:val="00104244"/>
    <w:rPr>
      <w:color w:val="0000FF"/>
      <w:u w:val="single"/>
    </w:rPr>
  </w:style>
  <w:style w:type="paragraph" w:styleId="a7">
    <w:name w:val="List Paragraph"/>
    <w:basedOn w:val="a1"/>
    <w:uiPriority w:val="34"/>
    <w:qFormat/>
    <w:rsid w:val="00104244"/>
    <w:pPr>
      <w:ind w:left="720"/>
      <w:contextualSpacing/>
    </w:pPr>
  </w:style>
  <w:style w:type="character" w:customStyle="1" w:styleId="30">
    <w:name w:val="Заголовок 3 Знак"/>
    <w:basedOn w:val="a2"/>
    <w:link w:val="3"/>
    <w:uiPriority w:val="9"/>
    <w:rsid w:val="003D57BB"/>
    <w:rPr>
      <w:rFonts w:ascii="inherit" w:eastAsia="Times New Roman" w:hAnsi="inherit" w:cs="Times New Roman"/>
      <w:sz w:val="36"/>
      <w:szCs w:val="36"/>
      <w:lang w:eastAsia="ru-RU"/>
    </w:rPr>
  </w:style>
  <w:style w:type="character" w:styleId="a8">
    <w:name w:val="Strong"/>
    <w:basedOn w:val="a2"/>
    <w:uiPriority w:val="22"/>
    <w:qFormat/>
    <w:rsid w:val="003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01768">
      <w:bodyDiv w:val="1"/>
      <w:marLeft w:val="0"/>
      <w:marRight w:val="0"/>
      <w:marTop w:val="0"/>
      <w:marBottom w:val="0"/>
      <w:divBdr>
        <w:top w:val="none" w:sz="0" w:space="0" w:color="auto"/>
        <w:left w:val="none" w:sz="0" w:space="0" w:color="auto"/>
        <w:bottom w:val="none" w:sz="0" w:space="0" w:color="auto"/>
        <w:right w:val="none" w:sz="0" w:space="0" w:color="auto"/>
      </w:divBdr>
    </w:div>
    <w:div w:id="6570030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937523586">
          <w:marLeft w:val="0"/>
          <w:marRight w:val="0"/>
          <w:marTop w:val="0"/>
          <w:marBottom w:val="300"/>
          <w:divBdr>
            <w:top w:val="single" w:sz="6" w:space="0" w:color="auto"/>
            <w:left w:val="single" w:sz="6" w:space="0" w:color="auto"/>
            <w:bottom w:val="single" w:sz="6" w:space="0" w:color="auto"/>
            <w:right w:val="single" w:sz="6" w:space="0" w:color="auto"/>
          </w:divBdr>
          <w:divsChild>
            <w:div w:id="433091649">
              <w:marLeft w:val="0"/>
              <w:marRight w:val="0"/>
              <w:marTop w:val="0"/>
              <w:marBottom w:val="0"/>
              <w:divBdr>
                <w:top w:val="none" w:sz="0" w:space="0" w:color="auto"/>
                <w:left w:val="none" w:sz="0" w:space="0" w:color="auto"/>
                <w:bottom w:val="single" w:sz="6" w:space="8" w:color="auto"/>
                <w:right w:val="none" w:sz="0" w:space="0" w:color="auto"/>
              </w:divBdr>
            </w:div>
            <w:div w:id="4524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yanos.slavne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govaEV@yanos.slavneft.ru" TargetMode="External"/><Relationship Id="rId5" Type="http://schemas.openxmlformats.org/officeDocument/2006/relationships/hyperlink" Target="http://yanos.slavneft.ru/files/PDO_570_RA_63648583835362078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2511</Words>
  <Characters>14316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2017-12-11T07:07:00Z</dcterms:created>
  <dcterms:modified xsi:type="dcterms:W3CDTF">2017-12-11T07:27:00Z</dcterms:modified>
</cp:coreProperties>
</file>