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455FC9">
        <w:rPr>
          <w:rFonts w:ascii="Times New Roman" w:hAnsi="Times New Roman"/>
          <w:b/>
          <w:color w:val="FF0000"/>
          <w:sz w:val="24"/>
          <w:szCs w:val="24"/>
        </w:rPr>
        <w:t>ЗП1111379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EA38CB" w:rsidRPr="007662C4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455FC9" w:rsidRPr="00455FC9">
        <w:rPr>
          <w:rFonts w:ascii="Times New Roman" w:hAnsi="Times New Roman"/>
          <w:b/>
          <w:color w:val="FF0000"/>
          <w:sz w:val="20"/>
          <w:szCs w:val="20"/>
        </w:rPr>
        <w:t>продукции для цехов ПАО «Славнефть-ЯНОС»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455FC9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№663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455FC9"/>
    <w:rsid w:val="00584286"/>
    <w:rsid w:val="0068735C"/>
    <w:rsid w:val="00865065"/>
    <w:rsid w:val="008B27CA"/>
    <w:rsid w:val="00A1151F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57E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15</cp:revision>
  <dcterms:created xsi:type="dcterms:W3CDTF">2019-12-27T08:39:00Z</dcterms:created>
  <dcterms:modified xsi:type="dcterms:W3CDTF">2021-11-24T10:52:00Z</dcterms:modified>
</cp:coreProperties>
</file>